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192" w:rsidRDefault="004A4192" w:rsidP="004A4192">
      <w:pPr>
        <w:autoSpaceDE w:val="0"/>
        <w:autoSpaceDN w:val="0"/>
        <w:adjustRightInd w:val="0"/>
        <w:spacing w:after="0" w:line="240" w:lineRule="auto"/>
        <w:rPr>
          <w:rFonts w:eastAsia="TimesNewRomanPSMT" w:cs="TimesNewRomanPSMT"/>
          <w:sz w:val="24"/>
          <w:szCs w:val="24"/>
        </w:rPr>
      </w:pPr>
      <w:r>
        <w:rPr>
          <w:rFonts w:eastAsia="TimesNewRomanPSMT" w:cs="TimesNewRomanPSMT"/>
          <w:sz w:val="24"/>
          <w:szCs w:val="24"/>
        </w:rPr>
        <w:t>Образование и технологии</w:t>
      </w:r>
    </w:p>
    <w:p w:rsidR="004A4192" w:rsidRDefault="004A4192" w:rsidP="004A4192">
      <w:pPr>
        <w:autoSpaceDE w:val="0"/>
        <w:autoSpaceDN w:val="0"/>
        <w:adjustRightInd w:val="0"/>
        <w:spacing w:after="0" w:line="240" w:lineRule="auto"/>
        <w:rPr>
          <w:rFonts w:ascii="TimesNewRomanPSMT" w:eastAsia="TimesNewRomanPSMT" w:cs="TimesNewRomanPSMT"/>
          <w:sz w:val="24"/>
          <w:szCs w:val="24"/>
        </w:rPr>
      </w:pPr>
      <w:r>
        <w:rPr>
          <w:rFonts w:ascii="TimesNewRomanPSMT" w:eastAsia="TimesNewRomanPSMT" w:cs="TimesNewRomanPSMT" w:hint="eastAsia"/>
          <w:sz w:val="24"/>
          <w:szCs w:val="24"/>
        </w:rPr>
        <w:t>ГОДИШНО</w:t>
      </w:r>
      <w:r>
        <w:rPr>
          <w:rFonts w:ascii="TimesNewRomanPSMT" w:eastAsia="TimesNewRomanPSMT" w:cs="TimesNewRomanPSMT"/>
          <w:sz w:val="24"/>
          <w:szCs w:val="24"/>
        </w:rPr>
        <w:t xml:space="preserve"> </w:t>
      </w:r>
      <w:r>
        <w:rPr>
          <w:rFonts w:ascii="TimesNewRomanPSMT" w:eastAsia="TimesNewRomanPSMT" w:cs="TimesNewRomanPSMT" w:hint="eastAsia"/>
          <w:sz w:val="24"/>
          <w:szCs w:val="24"/>
        </w:rPr>
        <w:t>НАУЧНО</w:t>
      </w:r>
      <w:r>
        <w:rPr>
          <w:rFonts w:ascii="TimesNewRomanPSMT" w:eastAsia="TimesNewRomanPSMT" w:cs="TimesNewRomanPSMT"/>
          <w:sz w:val="24"/>
          <w:szCs w:val="24"/>
        </w:rPr>
        <w:t>-</w:t>
      </w:r>
      <w:r>
        <w:rPr>
          <w:rFonts w:ascii="TimesNewRomanPSMT" w:eastAsia="TimesNewRomanPSMT" w:cs="TimesNewRomanPSMT" w:hint="eastAsia"/>
          <w:sz w:val="24"/>
          <w:szCs w:val="24"/>
        </w:rPr>
        <w:t>МЕТОДИЧЕСКО</w:t>
      </w:r>
      <w:r>
        <w:rPr>
          <w:rFonts w:ascii="TimesNewRomanPSMT" w:eastAsia="TimesNewRomanPSMT" w:cs="TimesNewRomanPSMT"/>
          <w:sz w:val="24"/>
          <w:szCs w:val="24"/>
        </w:rPr>
        <w:t xml:space="preserve"> </w:t>
      </w:r>
      <w:r>
        <w:rPr>
          <w:rFonts w:ascii="TimesNewRomanPSMT" w:eastAsia="TimesNewRomanPSMT" w:cs="TimesNewRomanPSMT" w:hint="eastAsia"/>
          <w:sz w:val="24"/>
          <w:szCs w:val="24"/>
        </w:rPr>
        <w:t>СПИСАНИЕ</w:t>
      </w:r>
    </w:p>
    <w:p w:rsidR="004A4192" w:rsidRPr="004A4192" w:rsidRDefault="004A4192" w:rsidP="004A4192">
      <w:pPr>
        <w:autoSpaceDE w:val="0"/>
        <w:autoSpaceDN w:val="0"/>
        <w:adjustRightInd w:val="0"/>
        <w:spacing w:after="0" w:line="240" w:lineRule="auto"/>
        <w:rPr>
          <w:rFonts w:eastAsia="TimesNewRomanPSMT" w:cs="TimesNewRomanPSMT"/>
          <w:sz w:val="24"/>
          <w:szCs w:val="24"/>
        </w:rPr>
      </w:pPr>
      <w:r>
        <w:rPr>
          <w:rFonts w:ascii="TimesNewRomanPSMT" w:eastAsia="TimesNewRomanPSMT" w:cs="TimesNewRomanPSMT" w:hint="eastAsia"/>
          <w:sz w:val="24"/>
          <w:szCs w:val="24"/>
        </w:rPr>
        <w:t>ГОДИНА</w:t>
      </w:r>
      <w:r>
        <w:rPr>
          <w:rFonts w:ascii="TimesNewRomanPSMT" w:eastAsia="TimesNewRomanPSMT" w:cs="TimesNewRomanPSMT"/>
          <w:sz w:val="24"/>
          <w:szCs w:val="24"/>
        </w:rPr>
        <w:t xml:space="preserve"> V</w:t>
      </w:r>
      <w:r>
        <w:rPr>
          <w:rFonts w:eastAsia="TimesNewRomanPSMT" w:cs="TimesNewRomanPSMT"/>
          <w:sz w:val="24"/>
          <w:szCs w:val="24"/>
        </w:rPr>
        <w:t xml:space="preserve">     </w:t>
      </w:r>
      <w:r w:rsidRPr="004A4192">
        <w:rPr>
          <w:rFonts w:ascii="TimesNewRomanPSMT" w:eastAsia="TimesNewRomanPSMT" w:cs="TimesNewRomanPSMT"/>
        </w:rPr>
        <w:t>5/2014</w:t>
      </w:r>
    </w:p>
    <w:p w:rsidR="004A4192" w:rsidRDefault="004A4192" w:rsidP="004A4192">
      <w:pPr>
        <w:autoSpaceDE w:val="0"/>
        <w:autoSpaceDN w:val="0"/>
        <w:adjustRightInd w:val="0"/>
        <w:spacing w:after="0" w:line="240" w:lineRule="auto"/>
        <w:rPr>
          <w:rFonts w:ascii="TimesNewRomanPSMT" w:eastAsia="TimesNewRomanPSMT" w:cs="TimesNewRomanPSMT"/>
          <w:sz w:val="24"/>
          <w:szCs w:val="24"/>
        </w:rPr>
      </w:pPr>
      <w:r>
        <w:rPr>
          <w:rFonts w:ascii="TimesNewRomanPSMT" w:eastAsia="TimesNewRomanPSMT" w:cs="TimesNewRomanPSMT"/>
          <w:sz w:val="24"/>
          <w:szCs w:val="24"/>
        </w:rPr>
        <w:t>ISSN 1314</w:t>
      </w:r>
      <w:r>
        <w:rPr>
          <w:rFonts w:ascii="TimesNewRomanPSMT" w:eastAsia="TimesNewRomanPSMT" w:cs="TimesNewRomanPSMT" w:hint="eastAsia"/>
          <w:sz w:val="24"/>
          <w:szCs w:val="24"/>
        </w:rPr>
        <w:t>–</w:t>
      </w:r>
      <w:r>
        <w:rPr>
          <w:rFonts w:ascii="TimesNewRomanPSMT" w:eastAsia="TimesNewRomanPSMT" w:cs="TimesNewRomanPSMT"/>
          <w:sz w:val="24"/>
          <w:szCs w:val="24"/>
        </w:rPr>
        <w:t>1791</w:t>
      </w:r>
    </w:p>
    <w:p w:rsidR="004A4192" w:rsidRDefault="004A4192" w:rsidP="004A4192">
      <w:pPr>
        <w:autoSpaceDE w:val="0"/>
        <w:autoSpaceDN w:val="0"/>
        <w:adjustRightInd w:val="0"/>
        <w:spacing w:after="0" w:line="240" w:lineRule="auto"/>
        <w:jc w:val="center"/>
        <w:rPr>
          <w:rFonts w:eastAsia="SPLulinBu-SemiBold" w:cs="SPLulinBu-SemiBold"/>
          <w:b/>
          <w:bCs/>
          <w:sz w:val="24"/>
          <w:szCs w:val="24"/>
        </w:rPr>
      </w:pPr>
    </w:p>
    <w:p w:rsidR="004A7524" w:rsidRDefault="004A7524" w:rsidP="004A4192">
      <w:pPr>
        <w:autoSpaceDE w:val="0"/>
        <w:autoSpaceDN w:val="0"/>
        <w:adjustRightInd w:val="0"/>
        <w:spacing w:after="0" w:line="240" w:lineRule="auto"/>
        <w:jc w:val="center"/>
        <w:rPr>
          <w:rFonts w:ascii="SPLulinBu-SemiBold" w:eastAsia="SPLulinBu-SemiBold" w:cs="SPLulinBu-SemiBold"/>
          <w:b/>
          <w:bCs/>
          <w:sz w:val="24"/>
          <w:szCs w:val="24"/>
        </w:rPr>
      </w:pPr>
      <w:r>
        <w:rPr>
          <w:rFonts w:ascii="SPLulinBu-SemiBold" w:eastAsia="SPLulinBu-SemiBold" w:cs="SPLulinBu-SemiBold" w:hint="eastAsia"/>
          <w:b/>
          <w:bCs/>
          <w:sz w:val="24"/>
          <w:szCs w:val="24"/>
        </w:rPr>
        <w:t>КАЗУСЪТ</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В</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ОБУЧЕНИЕТО</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ПО</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РЕЛИГИЯ</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КАТО</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МЕТОД</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ЗА</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УЧЕНЕ</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ЧРЕЗ</w:t>
      </w:r>
      <w:r>
        <w:rPr>
          <w:rFonts w:ascii="SPLulinBu-SemiBold" w:eastAsia="SPLulinBu-SemiBold" w:cs="SPLulinBu-SemiBold"/>
          <w:b/>
          <w:bCs/>
          <w:sz w:val="24"/>
          <w:szCs w:val="24"/>
        </w:rPr>
        <w:t xml:space="preserve"> </w:t>
      </w:r>
      <w:r>
        <w:rPr>
          <w:rFonts w:ascii="SPLulinBu-SemiBold" w:eastAsia="SPLulinBu-SemiBold" w:cs="SPLulinBu-SemiBold" w:hint="eastAsia"/>
          <w:b/>
          <w:bCs/>
          <w:sz w:val="24"/>
          <w:szCs w:val="24"/>
        </w:rPr>
        <w:t>ОПИТ</w:t>
      </w:r>
    </w:p>
    <w:p w:rsidR="004A7524" w:rsidRDefault="004A7524" w:rsidP="004A7524">
      <w:pPr>
        <w:autoSpaceDE w:val="0"/>
        <w:autoSpaceDN w:val="0"/>
        <w:adjustRightInd w:val="0"/>
        <w:spacing w:after="0" w:line="240" w:lineRule="auto"/>
        <w:jc w:val="center"/>
        <w:rPr>
          <w:rFonts w:ascii="SPLulinBu-SemiBold" w:eastAsia="SPLulinBu-SemiBold" w:cs="SPLulinBu-SemiBold"/>
          <w:b/>
          <w:bCs/>
        </w:rPr>
      </w:pPr>
      <w:proofErr w:type="gramStart"/>
      <w:r>
        <w:rPr>
          <w:rFonts w:ascii="SPLulinBu-SemiBold" w:eastAsia="SPLulinBu-SemiBold" w:cs="SPLulinBu-SemiBold" w:hint="eastAsia"/>
          <w:b/>
          <w:bCs/>
        </w:rPr>
        <w:t>доц</w:t>
      </w:r>
      <w:proofErr w:type="gramEnd"/>
      <w:r>
        <w:rPr>
          <w:rFonts w:ascii="SPLulinBu-SemiBold" w:eastAsia="SPLulinBu-SemiBold" w:cs="SPLulinBu-SemiBold"/>
          <w:b/>
          <w:bCs/>
        </w:rPr>
        <w:t xml:space="preserve">. </w:t>
      </w:r>
      <w:r>
        <w:rPr>
          <w:rFonts w:ascii="SPLulinBu-SemiBold" w:eastAsia="SPLulinBu-SemiBold" w:cs="SPLulinBu-SemiBold" w:hint="eastAsia"/>
          <w:b/>
          <w:bCs/>
        </w:rPr>
        <w:t>д</w:t>
      </w:r>
      <w:r>
        <w:rPr>
          <w:rFonts w:ascii="SPLulinBu-SemiBold" w:eastAsia="SPLulinBu-SemiBold" w:cs="SPLulinBu-SemiBold"/>
          <w:b/>
          <w:bCs/>
        </w:rPr>
        <w:t>-</w:t>
      </w:r>
      <w:r>
        <w:rPr>
          <w:rFonts w:ascii="SPLulinBu-SemiBold" w:eastAsia="SPLulinBu-SemiBold" w:cs="SPLulinBu-SemiBold" w:hint="eastAsia"/>
          <w:b/>
          <w:bCs/>
        </w:rPr>
        <w:t>р</w:t>
      </w:r>
      <w:r>
        <w:rPr>
          <w:rFonts w:ascii="SPLulinBu-SemiBold" w:eastAsia="SPLulinBu-SemiBold" w:cs="SPLulinBu-SemiBold"/>
          <w:b/>
          <w:bCs/>
        </w:rPr>
        <w:t xml:space="preserve"> </w:t>
      </w:r>
      <w:r>
        <w:rPr>
          <w:rFonts w:ascii="SPLulinBu-SemiBold" w:eastAsia="SPLulinBu-SemiBold" w:cs="SPLulinBu-SemiBold" w:hint="eastAsia"/>
          <w:b/>
          <w:bCs/>
        </w:rPr>
        <w:t>Магдалена</w:t>
      </w:r>
      <w:r>
        <w:rPr>
          <w:rFonts w:ascii="SPLulinBu-SemiBold" w:eastAsia="SPLulinBu-SemiBold" w:cs="SPLulinBu-SemiBold"/>
          <w:b/>
          <w:bCs/>
        </w:rPr>
        <w:t xml:space="preserve"> </w:t>
      </w:r>
      <w:r>
        <w:rPr>
          <w:rFonts w:ascii="SPLulinBu-SemiBold" w:eastAsia="SPLulinBu-SemiBold" w:cs="SPLulinBu-SemiBold" w:hint="eastAsia"/>
          <w:b/>
          <w:bCs/>
        </w:rPr>
        <w:t>Маринова</w:t>
      </w:r>
      <w:r>
        <w:rPr>
          <w:rFonts w:ascii="SPLulinBu-SemiBold" w:eastAsia="SPLulinBu-SemiBold" w:cs="SPLulinBu-SemiBold"/>
          <w:b/>
          <w:bCs/>
        </w:rPr>
        <w:t xml:space="preserve"> </w:t>
      </w:r>
      <w:r>
        <w:rPr>
          <w:rFonts w:ascii="SPLulinBu-SemiBold" w:eastAsia="SPLulinBu-SemiBold" w:cs="SPLulinBu-SemiBold" w:hint="eastAsia"/>
          <w:b/>
          <w:bCs/>
        </w:rPr>
        <w:t>Легкоступ</w:t>
      </w:r>
    </w:p>
    <w:p w:rsidR="004A7524" w:rsidRDefault="004A7524" w:rsidP="004A7524">
      <w:pPr>
        <w:spacing w:after="0" w:line="360" w:lineRule="auto"/>
        <w:ind w:firstLine="709"/>
        <w:jc w:val="center"/>
        <w:rPr>
          <w:rFonts w:ascii="SPLulinBu-SemiBold" w:eastAsia="SPLulinBu-SemiBold" w:cs="SPLulinBu-SemiBold"/>
          <w:b/>
          <w:bCs/>
        </w:rPr>
      </w:pPr>
      <w:proofErr w:type="gramStart"/>
      <w:r>
        <w:rPr>
          <w:rFonts w:ascii="SPLulinBu-SemiBold" w:eastAsia="SPLulinBu-SemiBold" w:cs="SPLulinBu-SemiBold" w:hint="eastAsia"/>
          <w:b/>
          <w:bCs/>
        </w:rPr>
        <w:t>ВТУ</w:t>
      </w:r>
      <w:r>
        <w:rPr>
          <w:rFonts w:ascii="SPLulinBu-SemiBold" w:eastAsia="SPLulinBu-SemiBold" w:cs="SPLulinBu-SemiBold"/>
          <w:b/>
          <w:bCs/>
        </w:rPr>
        <w:t xml:space="preserve"> </w:t>
      </w:r>
      <w:r>
        <w:rPr>
          <w:rFonts w:ascii="SPLulinBu-SemiBold" w:eastAsia="SPLulinBu-SemiBold" w:cs="SPLulinBu-SemiBold" w:hint="eastAsia"/>
          <w:b/>
          <w:bCs/>
        </w:rPr>
        <w:t>„Св</w:t>
      </w:r>
      <w:r>
        <w:rPr>
          <w:rFonts w:ascii="SPLulinBu-SemiBold" w:eastAsia="SPLulinBu-SemiBold" w:cs="SPLulinBu-SemiBold"/>
          <w:b/>
          <w:bCs/>
        </w:rPr>
        <w:t xml:space="preserve">. </w:t>
      </w:r>
      <w:r>
        <w:rPr>
          <w:rFonts w:ascii="SPLulinBu-SemiBold" w:eastAsia="SPLulinBu-SemiBold" w:cs="SPLulinBu-SemiBold" w:hint="eastAsia"/>
          <w:b/>
          <w:bCs/>
        </w:rPr>
        <w:t>св</w:t>
      </w:r>
      <w:r>
        <w:rPr>
          <w:rFonts w:ascii="SPLulinBu-SemiBold" w:eastAsia="SPLulinBu-SemiBold" w:cs="SPLulinBu-SemiBold"/>
          <w:b/>
          <w:bCs/>
        </w:rPr>
        <w:t>.</w:t>
      </w:r>
      <w:proofErr w:type="gramEnd"/>
      <w:r>
        <w:rPr>
          <w:rFonts w:ascii="SPLulinBu-SemiBold" w:eastAsia="SPLulinBu-SemiBold" w:cs="SPLulinBu-SemiBold"/>
          <w:b/>
          <w:bCs/>
        </w:rPr>
        <w:t xml:space="preserve"> </w:t>
      </w:r>
      <w:proofErr w:type="gramStart"/>
      <w:r>
        <w:rPr>
          <w:rFonts w:ascii="SPLulinBu-SemiBold" w:eastAsia="SPLulinBu-SemiBold" w:cs="SPLulinBu-SemiBold" w:hint="eastAsia"/>
          <w:b/>
          <w:bCs/>
        </w:rPr>
        <w:t>Кирил</w:t>
      </w:r>
      <w:r>
        <w:rPr>
          <w:rFonts w:ascii="SPLulinBu-SemiBold" w:eastAsia="SPLulinBu-SemiBold" w:cs="SPLulinBu-SemiBold"/>
          <w:b/>
          <w:bCs/>
        </w:rPr>
        <w:t xml:space="preserve"> </w:t>
      </w:r>
      <w:r>
        <w:rPr>
          <w:rFonts w:ascii="SPLulinBu-SemiBold" w:eastAsia="SPLulinBu-SemiBold" w:cs="SPLulinBu-SemiBold" w:hint="eastAsia"/>
          <w:b/>
          <w:bCs/>
        </w:rPr>
        <w:t>и</w:t>
      </w:r>
      <w:r>
        <w:rPr>
          <w:rFonts w:ascii="SPLulinBu-SemiBold" w:eastAsia="SPLulinBu-SemiBold" w:cs="SPLulinBu-SemiBold"/>
          <w:b/>
          <w:bCs/>
        </w:rPr>
        <w:t xml:space="preserve"> </w:t>
      </w:r>
      <w:r>
        <w:rPr>
          <w:rFonts w:ascii="SPLulinBu-SemiBold" w:eastAsia="SPLulinBu-SemiBold" w:cs="SPLulinBu-SemiBold" w:hint="eastAsia"/>
          <w:b/>
          <w:bCs/>
        </w:rPr>
        <w:t>Методий“</w:t>
      </w:r>
      <w:r>
        <w:rPr>
          <w:rFonts w:ascii="SPLulinBu-SemiBold" w:eastAsia="SPLulinBu-SemiBold" w:cs="SPLulinBu-SemiBold"/>
          <w:b/>
          <w:bCs/>
        </w:rPr>
        <w:t xml:space="preserve">, </w:t>
      </w:r>
      <w:r>
        <w:rPr>
          <w:rFonts w:ascii="SPLulinBu-SemiBold" w:eastAsia="SPLulinBu-SemiBold" w:cs="SPLulinBu-SemiBold" w:hint="eastAsia"/>
          <w:b/>
          <w:bCs/>
        </w:rPr>
        <w:t>гр</w:t>
      </w:r>
      <w:r>
        <w:rPr>
          <w:rFonts w:ascii="SPLulinBu-SemiBold" w:eastAsia="SPLulinBu-SemiBold" w:cs="SPLulinBu-SemiBold"/>
          <w:b/>
          <w:bCs/>
        </w:rPr>
        <w:t>.</w:t>
      </w:r>
      <w:proofErr w:type="gramEnd"/>
      <w:r>
        <w:rPr>
          <w:rFonts w:ascii="SPLulinBu-SemiBold" w:eastAsia="SPLulinBu-SemiBold" w:cs="SPLulinBu-SemiBold"/>
          <w:b/>
          <w:bCs/>
        </w:rPr>
        <w:t xml:space="preserve"> </w:t>
      </w:r>
      <w:r>
        <w:rPr>
          <w:rFonts w:ascii="SPLulinBu-SemiBold" w:eastAsia="SPLulinBu-SemiBold" w:cs="SPLulinBu-SemiBold" w:hint="eastAsia"/>
          <w:b/>
          <w:bCs/>
        </w:rPr>
        <w:t>Велико</w:t>
      </w:r>
      <w:r>
        <w:rPr>
          <w:rFonts w:ascii="SPLulinBu-SemiBold" w:eastAsia="SPLulinBu-SemiBold" w:cs="SPLulinBu-SemiBold"/>
          <w:b/>
          <w:bCs/>
        </w:rPr>
        <w:t xml:space="preserve"> </w:t>
      </w:r>
      <w:r>
        <w:rPr>
          <w:rFonts w:ascii="SPLulinBu-SemiBold" w:eastAsia="SPLulinBu-SemiBold" w:cs="SPLulinBu-SemiBold" w:hint="eastAsia"/>
          <w:b/>
          <w:bCs/>
        </w:rPr>
        <w:t>Търново</w:t>
      </w:r>
    </w:p>
    <w:p w:rsidR="008A7C3F" w:rsidRPr="004A7524" w:rsidRDefault="008A7C3F" w:rsidP="004A7524">
      <w:pPr>
        <w:spacing w:after="0" w:line="360" w:lineRule="auto"/>
        <w:ind w:firstLine="709"/>
        <w:jc w:val="center"/>
        <w:rPr>
          <w:rFonts w:ascii="Times New Roman" w:hAnsi="Times New Roman" w:cs="Times New Roman"/>
          <w:sz w:val="20"/>
          <w:szCs w:val="20"/>
        </w:rPr>
      </w:pPr>
      <w:r w:rsidRPr="004A7524">
        <w:rPr>
          <w:rFonts w:ascii="Times New Roman" w:hAnsi="Times New Roman" w:cs="Times New Roman"/>
          <w:sz w:val="20"/>
          <w:szCs w:val="20"/>
        </w:rPr>
        <w:t>CASE STUDIES IN RELIGIOUS EDUCATION AS A METHOD OF EXPERIENTIAL LEARNING</w:t>
      </w:r>
    </w:p>
    <w:p w:rsidR="008A7C3F" w:rsidRPr="004A7524" w:rsidRDefault="008A7C3F" w:rsidP="004A7524">
      <w:pPr>
        <w:spacing w:after="0" w:line="360" w:lineRule="auto"/>
        <w:ind w:firstLine="709"/>
        <w:jc w:val="center"/>
        <w:rPr>
          <w:rFonts w:ascii="Times New Roman" w:hAnsi="Times New Roman" w:cs="Times New Roman"/>
          <w:sz w:val="20"/>
          <w:szCs w:val="20"/>
        </w:rPr>
      </w:pPr>
      <w:r w:rsidRPr="004A7524">
        <w:rPr>
          <w:rFonts w:ascii="Times New Roman" w:hAnsi="Times New Roman" w:cs="Times New Roman"/>
          <w:sz w:val="20"/>
          <w:szCs w:val="20"/>
        </w:rPr>
        <w:t>Magdalena Marinova Legkostup</w:t>
      </w:r>
    </w:p>
    <w:p w:rsidR="008A7C3F" w:rsidRPr="004A7524" w:rsidRDefault="008A7C3F" w:rsidP="004A7524">
      <w:pPr>
        <w:spacing w:after="0" w:line="360" w:lineRule="auto"/>
        <w:ind w:firstLine="709"/>
        <w:jc w:val="center"/>
        <w:rPr>
          <w:rFonts w:ascii="Times New Roman" w:hAnsi="Times New Roman" w:cs="Times New Roman"/>
          <w:sz w:val="20"/>
          <w:szCs w:val="20"/>
        </w:rPr>
      </w:pPr>
      <w:r w:rsidRPr="004A7524">
        <w:rPr>
          <w:rFonts w:ascii="Times New Roman" w:hAnsi="Times New Roman" w:cs="Times New Roman"/>
          <w:sz w:val="20"/>
          <w:szCs w:val="20"/>
        </w:rPr>
        <w:t>St. Cyril and St. Methodius University of Veliko Turnovo</w:t>
      </w:r>
    </w:p>
    <w:p w:rsidR="008A7C3F" w:rsidRPr="004A7524" w:rsidRDefault="008A7C3F" w:rsidP="008A7C3F">
      <w:pPr>
        <w:spacing w:after="0" w:line="360" w:lineRule="auto"/>
        <w:ind w:firstLine="709"/>
        <w:rPr>
          <w:rFonts w:ascii="Times New Roman" w:hAnsi="Times New Roman" w:cs="Times New Roman"/>
          <w:sz w:val="20"/>
          <w:szCs w:val="20"/>
        </w:rPr>
      </w:pPr>
      <w:r w:rsidRPr="004A7524">
        <w:rPr>
          <w:rFonts w:ascii="Times New Roman" w:hAnsi="Times New Roman" w:cs="Times New Roman"/>
          <w:sz w:val="20"/>
          <w:szCs w:val="20"/>
        </w:rPr>
        <w:t>Abstract. This paper presents the advantages of the implementation of case study as a way to transform the</w:t>
      </w:r>
      <w:r w:rsidRPr="004A7524">
        <w:rPr>
          <w:rFonts w:ascii="Times New Roman" w:hAnsi="Times New Roman" w:cs="Times New Roman"/>
          <w:sz w:val="20"/>
          <w:szCs w:val="20"/>
          <w:lang w:val="en-US"/>
        </w:rPr>
        <w:t xml:space="preserve"> </w:t>
      </w:r>
      <w:r w:rsidRPr="004A7524">
        <w:rPr>
          <w:rFonts w:ascii="Times New Roman" w:hAnsi="Times New Roman" w:cs="Times New Roman"/>
          <w:sz w:val="20"/>
          <w:szCs w:val="20"/>
        </w:rPr>
        <w:t>religious knowledge in personal experience. Detailed information is given about the nature of the method of</w:t>
      </w:r>
      <w:r w:rsidRPr="004A7524">
        <w:rPr>
          <w:rFonts w:ascii="Times New Roman" w:hAnsi="Times New Roman" w:cs="Times New Roman"/>
          <w:sz w:val="20"/>
          <w:szCs w:val="20"/>
          <w:lang w:val="en-US"/>
        </w:rPr>
        <w:t xml:space="preserve"> </w:t>
      </w:r>
      <w:r w:rsidRPr="004A7524">
        <w:rPr>
          <w:rFonts w:ascii="Times New Roman" w:hAnsi="Times New Roman" w:cs="Times New Roman"/>
          <w:sz w:val="20"/>
          <w:szCs w:val="20"/>
        </w:rPr>
        <w:t>case studies, the key areas of its implementation and its theoretical background. This paper provides a defence</w:t>
      </w:r>
      <w:r w:rsidRPr="004A7524">
        <w:rPr>
          <w:rFonts w:ascii="Times New Roman" w:hAnsi="Times New Roman" w:cs="Times New Roman"/>
          <w:sz w:val="20"/>
          <w:szCs w:val="20"/>
          <w:lang w:val="en-US"/>
        </w:rPr>
        <w:t xml:space="preserve"> </w:t>
      </w:r>
      <w:r w:rsidRPr="004A7524">
        <w:rPr>
          <w:rFonts w:ascii="Times New Roman" w:hAnsi="Times New Roman" w:cs="Times New Roman"/>
          <w:sz w:val="20"/>
          <w:szCs w:val="20"/>
        </w:rPr>
        <w:t>of the inclusion of religious and moral case studies in the classroom, based on the experience teaching. The</w:t>
      </w:r>
      <w:r w:rsidRPr="004A7524">
        <w:rPr>
          <w:rFonts w:ascii="Times New Roman" w:hAnsi="Times New Roman" w:cs="Times New Roman"/>
          <w:sz w:val="20"/>
          <w:szCs w:val="20"/>
          <w:lang w:val="en-US"/>
        </w:rPr>
        <w:t xml:space="preserve"> </w:t>
      </w:r>
      <w:r w:rsidRPr="004A7524">
        <w:rPr>
          <w:rFonts w:ascii="Times New Roman" w:hAnsi="Times New Roman" w:cs="Times New Roman"/>
          <w:sz w:val="20"/>
          <w:szCs w:val="20"/>
        </w:rPr>
        <w:t>case study method challenges students to engage the issues being discussed and to participate actively in the</w:t>
      </w:r>
      <w:r w:rsidRPr="004A7524">
        <w:rPr>
          <w:rFonts w:ascii="Times New Roman" w:hAnsi="Times New Roman" w:cs="Times New Roman"/>
          <w:sz w:val="20"/>
          <w:szCs w:val="20"/>
          <w:lang w:val="en-US"/>
        </w:rPr>
        <w:t xml:space="preserve"> </w:t>
      </w:r>
      <w:r w:rsidRPr="004A7524">
        <w:rPr>
          <w:rFonts w:ascii="Times New Roman" w:hAnsi="Times New Roman" w:cs="Times New Roman"/>
          <w:sz w:val="20"/>
          <w:szCs w:val="20"/>
        </w:rPr>
        <w:t>deliberative process. These activities are an appropriate way to address issues of religion and morality. Teachers</w:t>
      </w:r>
      <w:r w:rsidRPr="004A7524">
        <w:rPr>
          <w:rFonts w:ascii="Times New Roman" w:hAnsi="Times New Roman" w:cs="Times New Roman"/>
          <w:sz w:val="20"/>
          <w:szCs w:val="20"/>
          <w:lang w:val="en-US"/>
        </w:rPr>
        <w:t xml:space="preserve"> </w:t>
      </w:r>
      <w:r w:rsidRPr="004A7524">
        <w:rPr>
          <w:rFonts w:ascii="Times New Roman" w:hAnsi="Times New Roman" w:cs="Times New Roman"/>
          <w:sz w:val="20"/>
          <w:szCs w:val="20"/>
        </w:rPr>
        <w:t>have a special moral obligation to foster a unique type of deliberative respect in the classroom. This obligation</w:t>
      </w:r>
      <w:r w:rsidRPr="004A7524">
        <w:rPr>
          <w:rFonts w:ascii="Times New Roman" w:hAnsi="Times New Roman" w:cs="Times New Roman"/>
          <w:sz w:val="20"/>
          <w:szCs w:val="20"/>
          <w:lang w:val="en-US"/>
        </w:rPr>
        <w:t xml:space="preserve"> </w:t>
      </w:r>
      <w:r w:rsidRPr="004A7524">
        <w:rPr>
          <w:rFonts w:ascii="Times New Roman" w:hAnsi="Times New Roman" w:cs="Times New Roman"/>
          <w:sz w:val="20"/>
          <w:szCs w:val="20"/>
        </w:rPr>
        <w:t>requires participants to exercise and develop their problem solving and critical thinking skills through the study of</w:t>
      </w:r>
      <w:r w:rsidRPr="004A7524">
        <w:rPr>
          <w:rFonts w:ascii="Times New Roman" w:hAnsi="Times New Roman" w:cs="Times New Roman"/>
          <w:sz w:val="20"/>
          <w:szCs w:val="20"/>
          <w:lang w:val="en-US"/>
        </w:rPr>
        <w:t xml:space="preserve"> </w:t>
      </w:r>
      <w:r w:rsidRPr="004A7524">
        <w:rPr>
          <w:rFonts w:ascii="Times New Roman" w:hAnsi="Times New Roman" w:cs="Times New Roman"/>
          <w:sz w:val="20"/>
          <w:szCs w:val="20"/>
        </w:rPr>
        <w:t>particular cases – something that other teaching methods cannot achieve at such a high level.</w:t>
      </w:r>
    </w:p>
    <w:p w:rsidR="008A7C3F" w:rsidRPr="004A7524" w:rsidRDefault="008A7C3F" w:rsidP="008A7C3F">
      <w:pPr>
        <w:spacing w:after="0" w:line="360" w:lineRule="auto"/>
        <w:ind w:firstLine="709"/>
        <w:rPr>
          <w:rFonts w:ascii="Times New Roman" w:hAnsi="Times New Roman" w:cs="Times New Roman"/>
          <w:sz w:val="20"/>
          <w:szCs w:val="20"/>
        </w:rPr>
      </w:pPr>
      <w:r w:rsidRPr="004A7524">
        <w:rPr>
          <w:rFonts w:ascii="Times New Roman" w:hAnsi="Times New Roman" w:cs="Times New Roman"/>
          <w:sz w:val="20"/>
          <w:szCs w:val="20"/>
        </w:rPr>
        <w:t>Keywords: case study, experience teaching, religious education</w:t>
      </w:r>
    </w:p>
    <w:p w:rsidR="008A7C3F" w:rsidRDefault="008A7C3F" w:rsidP="008A7C3F">
      <w:pPr>
        <w:spacing w:after="0" w:line="360" w:lineRule="auto"/>
        <w:ind w:firstLine="709"/>
        <w:rPr>
          <w:rFonts w:ascii="Times New Roman" w:hAnsi="Times New Roman" w:cs="Times New Roman"/>
          <w:sz w:val="24"/>
          <w:szCs w:val="24"/>
          <w:lang w:val="en-US"/>
        </w:rPr>
      </w:pP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Ученето чрез опит е вид обучение, чрез което на учениците се дава възможност да придобиват</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и прилагат знанията, уменията и отношенията в практико-приложен план. Това включва по-скоро</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„директна среща с изучаваното явление, отколкото простото представяне на тази среща или обмислянето на възможността да бъде направено нещо, свързано с нея“ [6, 9]. Този вид обучение изисква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ръководство от учител-фасилитатор.</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Голяма част от дискусията около ученето чрез опит произтича от работата на Дейвид A. Колб</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[7; 8; 9] и неговия сътрудник Роджър Фрай [10]. Колб се интересува от проучване на процесите, свързани с осмислянето на конкретните преживявания и различните стилове на учене, които могат да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бъдат включени. Заедно с Роджър Фрай той създава известния си модел за учене чрез преживяване,</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който представлява цикъл от четири елемента:</w:t>
      </w:r>
    </w:p>
    <w:p w:rsidR="008A7C3F" w:rsidRPr="008A7C3F" w:rsidRDefault="008A7C3F" w:rsidP="008A7C3F">
      <w:pPr>
        <w:pStyle w:val="ListParagraph"/>
        <w:numPr>
          <w:ilvl w:val="0"/>
          <w:numId w:val="1"/>
        </w:numPr>
        <w:spacing w:after="0" w:line="360" w:lineRule="auto"/>
        <w:rPr>
          <w:rFonts w:ascii="Times New Roman" w:hAnsi="Times New Roman" w:cs="Times New Roman"/>
          <w:sz w:val="24"/>
          <w:szCs w:val="24"/>
        </w:rPr>
      </w:pPr>
      <w:r w:rsidRPr="008A7C3F">
        <w:rPr>
          <w:rFonts w:ascii="Times New Roman" w:hAnsi="Times New Roman" w:cs="Times New Roman"/>
          <w:sz w:val="24"/>
          <w:szCs w:val="24"/>
        </w:rPr>
        <w:t>Конкретен опит;</w:t>
      </w:r>
    </w:p>
    <w:p w:rsidR="008A7C3F" w:rsidRPr="008A7C3F" w:rsidRDefault="008A7C3F" w:rsidP="008A7C3F">
      <w:pPr>
        <w:pStyle w:val="ListParagraph"/>
        <w:numPr>
          <w:ilvl w:val="0"/>
          <w:numId w:val="1"/>
        </w:numPr>
        <w:spacing w:after="0" w:line="360" w:lineRule="auto"/>
        <w:rPr>
          <w:rFonts w:ascii="Times New Roman" w:hAnsi="Times New Roman" w:cs="Times New Roman"/>
          <w:sz w:val="24"/>
          <w:szCs w:val="24"/>
        </w:rPr>
      </w:pPr>
      <w:r w:rsidRPr="008A7C3F">
        <w:rPr>
          <w:rFonts w:ascii="Times New Roman" w:hAnsi="Times New Roman" w:cs="Times New Roman"/>
          <w:sz w:val="24"/>
          <w:szCs w:val="24"/>
        </w:rPr>
        <w:t>Наблюдение и рефлексия (размисъл);</w:t>
      </w:r>
    </w:p>
    <w:p w:rsidR="008A7C3F" w:rsidRPr="008A7C3F" w:rsidRDefault="008A7C3F" w:rsidP="008A7C3F">
      <w:pPr>
        <w:pStyle w:val="ListParagraph"/>
        <w:numPr>
          <w:ilvl w:val="0"/>
          <w:numId w:val="1"/>
        </w:numPr>
        <w:spacing w:after="0" w:line="360" w:lineRule="auto"/>
        <w:rPr>
          <w:rFonts w:ascii="Times New Roman" w:hAnsi="Times New Roman" w:cs="Times New Roman"/>
          <w:sz w:val="24"/>
          <w:szCs w:val="24"/>
        </w:rPr>
      </w:pPr>
      <w:r w:rsidRPr="008A7C3F">
        <w:rPr>
          <w:rFonts w:ascii="Times New Roman" w:hAnsi="Times New Roman" w:cs="Times New Roman"/>
          <w:sz w:val="24"/>
          <w:szCs w:val="24"/>
        </w:rPr>
        <w:lastRenderedPageBreak/>
        <w:t>Формиране на абстрактни понятия;</w:t>
      </w:r>
    </w:p>
    <w:p w:rsidR="008A7C3F" w:rsidRPr="008A7C3F" w:rsidRDefault="008A7C3F" w:rsidP="008A7C3F">
      <w:pPr>
        <w:pStyle w:val="ListParagraph"/>
        <w:numPr>
          <w:ilvl w:val="0"/>
          <w:numId w:val="1"/>
        </w:numPr>
        <w:spacing w:after="0" w:line="360" w:lineRule="auto"/>
        <w:rPr>
          <w:rFonts w:ascii="Times New Roman" w:hAnsi="Times New Roman" w:cs="Times New Roman"/>
          <w:sz w:val="24"/>
          <w:szCs w:val="24"/>
        </w:rPr>
      </w:pPr>
      <w:r w:rsidRPr="008A7C3F">
        <w:rPr>
          <w:rFonts w:ascii="Times New Roman" w:hAnsi="Times New Roman" w:cs="Times New Roman"/>
          <w:sz w:val="24"/>
          <w:szCs w:val="24"/>
        </w:rPr>
        <w:t>Активно експериментиране – прилагане в нова ситуация.</w:t>
      </w:r>
    </w:p>
    <w:p w:rsidR="008A7C3F" w:rsidRDefault="008A7C3F" w:rsidP="008A7C3F">
      <w:pPr>
        <w:spacing w:after="0" w:line="360" w:lineRule="auto"/>
        <w:ind w:firstLine="709"/>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extent cx="2924175" cy="3086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175" cy="3086100"/>
                    </a:xfrm>
                    <a:prstGeom prst="rect">
                      <a:avLst/>
                    </a:prstGeom>
                    <a:noFill/>
                    <a:ln>
                      <a:noFill/>
                    </a:ln>
                  </pic:spPr>
                </pic:pic>
              </a:graphicData>
            </a:graphic>
          </wp:inline>
        </w:drawing>
      </w:r>
    </w:p>
    <w:p w:rsidR="008A7C3F" w:rsidRPr="008A7C3F" w:rsidRDefault="008A7C3F" w:rsidP="008A7C3F">
      <w:pPr>
        <w:spacing w:after="0" w:line="360" w:lineRule="auto"/>
        <w:ind w:firstLine="709"/>
        <w:rPr>
          <w:rFonts w:ascii="Times New Roman" w:hAnsi="Times New Roman" w:cs="Times New Roman"/>
          <w:sz w:val="20"/>
          <w:szCs w:val="20"/>
        </w:rPr>
      </w:pPr>
      <w:r w:rsidRPr="008A7C3F">
        <w:rPr>
          <w:rFonts w:ascii="Times New Roman" w:hAnsi="Times New Roman" w:cs="Times New Roman"/>
          <w:sz w:val="20"/>
          <w:szCs w:val="20"/>
        </w:rPr>
        <w:t>Фигура 1. Модел за учене чрез преживяване</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Цикълът започва с опита, който обучавания има, следван от възможност за размисъл върху неговото преживяване. След това учениците могат да концептуализират и правят изводи по отношение на преживяното и наблюдаваното, което, от своя страна, да доведе до бъдещи действия, в които те да експериментират с различни поведения. Тогава цикълът започва отново, тъй като обучаваните имат нови преживявания въз основа на техния експеримент [10].</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Темите по религия са особено подходящи за базирано на опита обучение. С помощта на подходи,</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основани на опита, религиозната тематика подканва учениците да разгледат собствените си преживявания в контекста на вярата, независимо дали са положителни или отрицателни. След като си</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изяснят начините, по които религията им въздейства, те могат да рефлектират върху това и да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експериментират с определено религиозно-нравствено поведение. Ето защо учителите трябва да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бъдат информирани за потенциалните противоречия и да имат определени умения, за да прилагат в</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процеса на обучение адекватни на тях методи.</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Всички организирани преживявания, реализирани с помощта на учителя по религия като фасилитатор, трябва да бъдат добре осмислени от учениците. Затова изборът на преживяване е необходимо да бъде направен въз основа на два критерия: собствената компетентност на педагога (ще бъде ли самият той способен да се справи с организацията на преживяването и усвояването на резултатите от него?) и нуждите на учениците.</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lastRenderedPageBreak/>
        <w:t>Един от основните типове организирани преживявания е решаването на проблеми, чрез което</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се набляга на откриване на алтернативни решения, обмен на информация, постигане на консенсус, 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не компромис.</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Казусът е един от методите за активно обучение чрез разрешаване на проблем, който включва задълбочено разглеждане на едно-единствено явление, събитие или ситуация. Чрез представената конкретна проблемна ситуация се изисква анализ и оценка на проблема, извеждане на причините</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за възникналите противоречия и оперативното й решаване от обучаваните в процеса на занятието</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чрез посочване на ефективни пътища и средства.</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„Казусът е метод на обучение, при който знанията и уменията на учениците се изграждат в</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процеса на търсене на изход и решение на казусната ситуация, по пътя на логическата преработка на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информацията, съдържаща се в нея, с помощта на наличните теоретични знания, социален и познавателен опит и под дискретното, „дирижиращо“ ръководство на учителя.“ [1, 307].</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Повечето изследователи отнасят казусите и инцидентите към групата на ситуационните методи. Някои автори ги наричат „активни методи“, а други „методи, предизвикващи личността към</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действие“ [5,66]. Според 3. Костова „обикновено казусите са ситуации, подбрани и обработени така,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че да могат да развиват определени умения в зависимост от учебния предмет като например търсене и намиране на специфична информация, откриване на обща идея, разкриване на взаимовръзки, разбиране между редовете, критично мислене и слушане, толерантна комуникация, ефективна дискусия, презентация, интерпретация, правилен избор на решение“ [2, 311].</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Методът „Казус“ или „Анализ на случай“ използва натрупания предишен опит като отправна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точка. Позволява ни да се учим от действителни ситуации в миналото и от реално настъпили последствия. Чрез приложението му в сферата на обучението по религия се цели запознаване на учениците с кръг от реални житейски ситуации, които изискват неотложни решения и действия в светлината на вярата.</w:t>
      </w:r>
    </w:p>
    <w:p w:rsidR="008A7C3F" w:rsidRPr="008A7C3F" w:rsidRDefault="008A7C3F" w:rsidP="008A7C3F">
      <w:pPr>
        <w:spacing w:after="0" w:line="360" w:lineRule="auto"/>
        <w:ind w:firstLine="709"/>
        <w:rPr>
          <w:rFonts w:ascii="Times New Roman" w:hAnsi="Times New Roman" w:cs="Times New Roman"/>
          <w:sz w:val="24"/>
          <w:szCs w:val="24"/>
          <w:lang w:val="en-US"/>
        </w:rPr>
      </w:pPr>
      <w:r w:rsidRPr="008A7C3F">
        <w:rPr>
          <w:rFonts w:ascii="Times New Roman" w:hAnsi="Times New Roman" w:cs="Times New Roman"/>
          <w:sz w:val="24"/>
          <w:szCs w:val="24"/>
        </w:rPr>
        <w:t>Насоката на един казус може да бъде към конкретна личност, инцидент или ситуация. За нуждите</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на обучението по религия казусът изпълнява функциите на проблем, който учениците диагностицират и за чието решение трябва да постигнат съгласие. Той представя основни събития и факти, насочвайки към проблем, без да ограничава въображението на участниците. Характерно за учебния казус е, че</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разполага задължително с ясна времева рамка, специфичен контекст и има заложен проблем.</w:t>
      </w:r>
      <w:r>
        <w:rPr>
          <w:rFonts w:ascii="Times New Roman" w:hAnsi="Times New Roman" w:cs="Times New Roman"/>
          <w:sz w:val="24"/>
          <w:szCs w:val="24"/>
          <w:lang w:val="en-US"/>
        </w:rPr>
        <w:t xml:space="preserve"> </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lastRenderedPageBreak/>
        <w:t>Добрият казус постига баланс между факти и чувства, преодолява разстоянието между религиозната терминология и всекидневната реч, запознава учениците с развитието на проблема до определен етап и ги поставя в ситуация на избор. Учителят по религия въоръжава учениците с теоретичните инструменти. Така за тях остава да приложат наученото в часовете по религия в условията, зададени от казуса, да отсеят наистина важното, да разпознаят истинските проблеми и да</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разработят план за действие. Така чрез казуса се преминава от стандартните методи на преподаване към създаване на условия за учене. Насърчава се интереса на учениците да упражняват на практика придобитите знания, умения и отношения.</w:t>
      </w:r>
    </w:p>
    <w:p w:rsidR="008A7C3F" w:rsidRDefault="008A7C3F" w:rsidP="008A7C3F">
      <w:pPr>
        <w:spacing w:after="0" w:line="360" w:lineRule="auto"/>
        <w:ind w:firstLine="709"/>
        <w:rPr>
          <w:rFonts w:ascii="Times New Roman" w:hAnsi="Times New Roman" w:cs="Times New Roman"/>
          <w:sz w:val="24"/>
          <w:szCs w:val="24"/>
          <w:lang w:val="en-US"/>
        </w:rPr>
      </w:pPr>
      <w:r w:rsidRPr="008A7C3F">
        <w:rPr>
          <w:rFonts w:ascii="Times New Roman" w:hAnsi="Times New Roman" w:cs="Times New Roman"/>
          <w:sz w:val="24"/>
          <w:szCs w:val="24"/>
        </w:rPr>
        <w:t>Познати са различни класификации на казусите за обучение: според техния съдържателен фокус,</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според целта и задачите на обучението, според обема и вида на съдържащата се информация, в зависимост от техния предмет и др. [4, 8–9] Тук ще представим най-подходящите според нас за обучението по религия разновидности казуси според предназначението им в учебния процес [3, 102]. Те биват (Фигура 2.):</w:t>
      </w:r>
    </w:p>
    <w:p w:rsidR="008A7C3F" w:rsidRPr="008A7C3F" w:rsidRDefault="008A7C3F" w:rsidP="008A7C3F">
      <w:pPr>
        <w:spacing w:after="0" w:line="360" w:lineRule="auto"/>
        <w:ind w:firstLine="709"/>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extent cx="4638675" cy="2578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1440" cy="2580115"/>
                    </a:xfrm>
                    <a:prstGeom prst="rect">
                      <a:avLst/>
                    </a:prstGeom>
                    <a:noFill/>
                    <a:ln>
                      <a:noFill/>
                    </a:ln>
                  </pic:spPr>
                </pic:pic>
              </a:graphicData>
            </a:graphic>
          </wp:inline>
        </w:drawing>
      </w:r>
    </w:p>
    <w:p w:rsidR="008A7C3F" w:rsidRPr="008A7C3F" w:rsidRDefault="008A7C3F" w:rsidP="008A7C3F">
      <w:pPr>
        <w:spacing w:after="0" w:line="360" w:lineRule="auto"/>
        <w:ind w:firstLine="709"/>
        <w:rPr>
          <w:rFonts w:ascii="Times New Roman" w:hAnsi="Times New Roman" w:cs="Times New Roman"/>
          <w:sz w:val="20"/>
          <w:szCs w:val="20"/>
        </w:rPr>
      </w:pPr>
      <w:r w:rsidRPr="008A7C3F">
        <w:rPr>
          <w:rFonts w:ascii="Times New Roman" w:hAnsi="Times New Roman" w:cs="Times New Roman"/>
          <w:sz w:val="20"/>
          <w:szCs w:val="20"/>
        </w:rPr>
        <w:t>Фигура 2. Класификация на проблемните ситуации според предназначението им в учебния процес</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Казусът-проблем е прототип на реален проблем, който изисква оперативно решение. С помощта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на подобна ситуация могат да бъдат формирани умения за търсене на оптимално решение.</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Казусът-оценка е прототип на реална ситуация с готови предполагаеми решения, които се оценяват като „правилни“ или „неправилни“ и се предлага собствено адекватно решение.</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Казусът-илюстрация е прототип на реална ситуация, която се включва като факт в лекционния материал или в изложението на учителя. С помощта такъв пример може да започне процесът на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 xml:space="preserve">използване на метода на казуса преди прилагането му в </w:t>
      </w:r>
      <w:r w:rsidRPr="008A7C3F">
        <w:rPr>
          <w:rFonts w:ascii="Times New Roman" w:hAnsi="Times New Roman" w:cs="Times New Roman"/>
          <w:sz w:val="24"/>
          <w:szCs w:val="24"/>
        </w:rPr>
        <w:lastRenderedPageBreak/>
        <w:t>специални занятия. Нагледната образна ситуация формира умение да се декодира информацията с цел по-просто и целесъобразно решение.</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Казусът-тренинг е прототип на сбор от определени стандартни или други ситуации, като</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всичко зависи от поставените цели. Препоръчително е тренингът да се включва както описание на</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ситуациите, така и работа по тяхното решаване.</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Съдържанието на казуса може да бъде взето от литературата и практиката, както и да бъде изкуствено структуриран. Същевременно може да се използва и реална ситуация, взета от ученическия живот, но при условие, че взетото решение е неизвестно. Именно то трябва да бъде намерено, 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самата ситуация се описва в такава последователност, в каквато е протекла реално. Ако преподавателят има намерение в следващ етап от обучението да използва метода на ролевите игри, то именно тази „жива“ ситуация е най-подходяща при първите стъпки по този път и може да бъде предл</w:t>
      </w:r>
      <w:r>
        <w:rPr>
          <w:rFonts w:ascii="Times New Roman" w:hAnsi="Times New Roman" w:cs="Times New Roman"/>
          <w:sz w:val="24"/>
          <w:szCs w:val="24"/>
          <w:lang w:val="en-US"/>
        </w:rPr>
        <w:t>o</w:t>
      </w:r>
      <w:r w:rsidRPr="008A7C3F">
        <w:rPr>
          <w:rFonts w:ascii="Times New Roman" w:hAnsi="Times New Roman" w:cs="Times New Roman"/>
          <w:sz w:val="24"/>
          <w:szCs w:val="24"/>
        </w:rPr>
        <w:t>жена за разиграване по роли.</w:t>
      </w:r>
    </w:p>
    <w:p w:rsidR="004A7524" w:rsidRDefault="008A7C3F" w:rsidP="008A7C3F">
      <w:pPr>
        <w:spacing w:after="0" w:line="360" w:lineRule="auto"/>
        <w:ind w:firstLine="709"/>
        <w:rPr>
          <w:rFonts w:ascii="Times New Roman" w:hAnsi="Times New Roman" w:cs="Times New Roman"/>
          <w:sz w:val="24"/>
          <w:szCs w:val="24"/>
          <w:lang w:val="en-US"/>
        </w:rPr>
      </w:pPr>
      <w:r w:rsidRPr="008A7C3F">
        <w:rPr>
          <w:rFonts w:ascii="Times New Roman" w:hAnsi="Times New Roman" w:cs="Times New Roman"/>
          <w:sz w:val="24"/>
          <w:szCs w:val="24"/>
        </w:rPr>
        <w:t>Обучението чрез казуси в българското религиозно образование е недостатъчно разработена и описана научна област. За разлика от казусите, които се прилагат в областта на правото, бизнеса и</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мениджмънта и които целят главно развитие на умения и способности за вземане на решения в проблемна ситуация или ситуация на информационен дефицит, казусите в обучението по религия целят развитие на чувствителност към въпросите на вярата, религиозно-нравствена и интеркултурна компетентност. Тези резултантни променливи от обучението са изключително необходими</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за духовното развитие, възпитание и гражданско образование на младите хора, тъй като съответстват на доминиращите характеристики на съвременните общества.</w:t>
      </w:r>
      <w:r w:rsidR="004A7524">
        <w:rPr>
          <w:rFonts w:ascii="Times New Roman" w:hAnsi="Times New Roman" w:cs="Times New Roman"/>
          <w:sz w:val="24"/>
          <w:szCs w:val="24"/>
          <w:lang w:val="en-US"/>
        </w:rPr>
        <w:t xml:space="preserve"> </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Използването на казуси в обучението по религия означава представяне на реално съществуващо</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или въображаемо религиозно-нравствено противоречие, на което учениците трябва да намерят и</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обосноват решение. Описанието на казуса разкрива проблемна ситуация, възникването и развитието й до определен критичен момент, както и свързаните с нея личности или групи от хора, имащи</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различно отношение към проблема. Учениците анализират причините за появата на трудния за разрешаване въпрос, оценяват съществуващата обстановка предимно в религиозно-нравствен аспект.</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Те обсъждат, избират един от посочените варианти за решение или предлагат нов, аргументират</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своя избор, позовават се на усвоени знания и жизнен опит. Дейността на учениците е творческа,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 xml:space="preserve">аналитична, изследователска. Действията са </w:t>
      </w:r>
      <w:r w:rsidRPr="008A7C3F">
        <w:rPr>
          <w:rFonts w:ascii="Times New Roman" w:hAnsi="Times New Roman" w:cs="Times New Roman"/>
          <w:sz w:val="24"/>
          <w:szCs w:val="24"/>
        </w:rPr>
        <w:lastRenderedPageBreak/>
        <w:t>насочени към намиране на оптимален и правилен изход</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от възникналата проблемна ситуация, който да не противоречи на Христовото учение.</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Прилагането на този метод в обучението по религия се основава на следните важни идейни предпоставки:</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1. Убеждението, че стремежът към търсене на отговори на екзистенциални въпроси се поражда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по естествен път в учащите се и че те са в състояние да вникнат в религиозно-нравствената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проблематика и да формулират творчески идеи.</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2. Съзнанието за важната роля на учителя по религия като съработник на Бога, който непрекъснато поощрява търсенето на отговори и подпомага учениците в съвместната им учебно-възпитателна работа.</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3. Решимостта религиозно-нравствените дилеми да се поставят в контекста на дискусии, писмени дейности и други процеси на търсене на отговори, с които учащите се са лично ангажирани.</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4. Осъзнаването на връзката между навиците за мислене и градивното религиозно-нравствено</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съзнание.</w:t>
      </w:r>
    </w:p>
    <w:p w:rsidR="008A7C3F" w:rsidRDefault="008A7C3F" w:rsidP="008A7C3F">
      <w:pPr>
        <w:spacing w:after="0" w:line="360" w:lineRule="auto"/>
        <w:ind w:firstLine="709"/>
        <w:rPr>
          <w:rFonts w:ascii="Times New Roman" w:hAnsi="Times New Roman" w:cs="Times New Roman"/>
          <w:sz w:val="24"/>
          <w:szCs w:val="24"/>
          <w:lang w:val="en-US"/>
        </w:rPr>
      </w:pPr>
      <w:r w:rsidRPr="008A7C3F">
        <w:rPr>
          <w:rFonts w:ascii="Times New Roman" w:hAnsi="Times New Roman" w:cs="Times New Roman"/>
          <w:sz w:val="24"/>
          <w:szCs w:val="24"/>
        </w:rPr>
        <w:t>Технологията на анализиране на казус като метод на обучение няма строго регламентирани правила за провеждане и строго детайлно планиране. За да приложи ефективно метода за разрешаване</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на казус, учителят по религия трябва да създаде подходящи условия като ефикасна организация, подробен план-сценарий на урока, планиране на необходимото време, подготвени материали; атмосфера, даваща усещане за сигурност; правилно поведение, базирано на познаване на правилата за междуличностно общуване и висока мотивация на учениците. Най-типичната структура на един казус</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включва сюжетна, информационна и методическа част [4, 9]. Последователността от действия при</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провеждането могат да следват следната примерна схема (Фигура 3):</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Необходимо е учителят да отдели поне 20 минути за работа по казуса, както и поне по 2 минути</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на всяка група за представяне на груповата работа пред класа. Представянето може да се осъществи под формата на презентация, но в някои случаи казусът може да бъде разигран от учениците по</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 xml:space="preserve">роли чрез драматизация или илюстриран чрез рисунка. Важен аспект от прилагането на тази техника е случайното разпределяне на учениците по групи. Така те са поставени в обстановка, при която се адаптират към ритъма на работа на други техни връстници, с които може би никога не са общували активно, и това помага на учениците да се социализират по-лесно. Преподавателят трябва да съобрази с колко групи може да работи ефективно в час. Ако </w:t>
      </w:r>
      <w:r w:rsidRPr="008A7C3F">
        <w:rPr>
          <w:rFonts w:ascii="Times New Roman" w:hAnsi="Times New Roman" w:cs="Times New Roman"/>
          <w:sz w:val="24"/>
          <w:szCs w:val="24"/>
        </w:rPr>
        <w:lastRenderedPageBreak/>
        <w:t>групите са твърде много, то той</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ще е неспособен да ги фасилитира, а ако са твърде големи, то в тях няма да се получи ефективна дискусия и винаги ще има изолирани ученици. Оптимален вариант за работна група е такава от 4 или 5</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участника. Такива групи предполагат интензивно общуване по време на работа и сблъскване на различни гледни точки, така че групата да може качествено да изработи общо решение. Накрая е важно</w:t>
      </w:r>
      <w:r>
        <w:rPr>
          <w:rFonts w:ascii="Times New Roman" w:hAnsi="Times New Roman" w:cs="Times New Roman"/>
          <w:sz w:val="24"/>
          <w:szCs w:val="24"/>
          <w:lang w:val="en-US"/>
        </w:rPr>
        <w:t xml:space="preserve"> </w:t>
      </w:r>
      <w:r w:rsidRPr="008A7C3F">
        <w:rPr>
          <w:rFonts w:ascii="Times New Roman" w:hAnsi="Times New Roman" w:cs="Times New Roman"/>
          <w:sz w:val="24"/>
          <w:szCs w:val="24"/>
        </w:rPr>
        <w:t>на участниците да се даде възможност да сравняват изработените от тях решения пред целия клас.</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Това създава общност и въвежда позитивна конкурентна среда, при която трудът на всеки един ученик е уважен и оценен.</w:t>
      </w:r>
    </w:p>
    <w:p w:rsidR="008A7C3F" w:rsidRDefault="008A7C3F" w:rsidP="008A7C3F">
      <w:pPr>
        <w:spacing w:after="0" w:line="360" w:lineRule="auto"/>
        <w:ind w:firstLine="709"/>
        <w:rPr>
          <w:rFonts w:ascii="Times New Roman" w:hAnsi="Times New Roman" w:cs="Times New Roman"/>
          <w:sz w:val="24"/>
          <w:szCs w:val="24"/>
          <w:lang w:val="en-US"/>
        </w:rPr>
      </w:pPr>
      <w:r>
        <w:rPr>
          <w:rFonts w:ascii="Times New Roman" w:hAnsi="Times New Roman" w:cs="Times New Roman"/>
          <w:noProof/>
          <w:sz w:val="24"/>
          <w:szCs w:val="24"/>
          <w:lang w:eastAsia="bg-BG"/>
        </w:rPr>
        <w:drawing>
          <wp:inline distT="0" distB="0" distL="0" distR="0">
            <wp:extent cx="5760720" cy="437462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74622"/>
                    </a:xfrm>
                    <a:prstGeom prst="rect">
                      <a:avLst/>
                    </a:prstGeom>
                    <a:noFill/>
                    <a:ln>
                      <a:noFill/>
                    </a:ln>
                  </pic:spPr>
                </pic:pic>
              </a:graphicData>
            </a:graphic>
          </wp:inline>
        </w:drawing>
      </w:r>
    </w:p>
    <w:p w:rsidR="008A7C3F" w:rsidRPr="008A7C3F" w:rsidRDefault="008A7C3F" w:rsidP="008A7C3F">
      <w:pPr>
        <w:spacing w:after="0" w:line="360" w:lineRule="auto"/>
        <w:ind w:firstLine="709"/>
        <w:rPr>
          <w:rFonts w:ascii="Times New Roman" w:hAnsi="Times New Roman" w:cs="Times New Roman"/>
          <w:sz w:val="20"/>
          <w:szCs w:val="20"/>
        </w:rPr>
      </w:pPr>
      <w:r w:rsidRPr="008A7C3F">
        <w:rPr>
          <w:rFonts w:ascii="Times New Roman" w:hAnsi="Times New Roman" w:cs="Times New Roman"/>
          <w:sz w:val="20"/>
          <w:szCs w:val="20"/>
        </w:rPr>
        <w:t>Фигура 3. Последователност на действията при провеждането на занятие</w:t>
      </w:r>
      <w:r>
        <w:rPr>
          <w:rFonts w:ascii="Times New Roman" w:hAnsi="Times New Roman" w:cs="Times New Roman"/>
          <w:sz w:val="20"/>
          <w:szCs w:val="20"/>
          <w:lang w:val="en-US"/>
        </w:rPr>
        <w:t xml:space="preserve"> </w:t>
      </w:r>
      <w:r w:rsidRPr="008A7C3F">
        <w:rPr>
          <w:rFonts w:ascii="Times New Roman" w:hAnsi="Times New Roman" w:cs="Times New Roman"/>
          <w:sz w:val="20"/>
          <w:szCs w:val="20"/>
        </w:rPr>
        <w:t>за решаване на проблемна ситуация</w:t>
      </w:r>
    </w:p>
    <w:p w:rsidR="008A7C3F" w:rsidRDefault="008A7C3F" w:rsidP="008A7C3F">
      <w:pPr>
        <w:spacing w:after="0" w:line="360" w:lineRule="auto"/>
        <w:ind w:firstLine="709"/>
        <w:rPr>
          <w:rFonts w:ascii="Times New Roman" w:hAnsi="Times New Roman" w:cs="Times New Roman"/>
          <w:sz w:val="24"/>
          <w:szCs w:val="24"/>
          <w:lang w:val="en-US"/>
        </w:rPr>
      </w:pP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Всеки казус съдържа няколко базови елемента, които позволяват на ученика да разбере смисъла на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 xml:space="preserve">заниманието, както и да получи точни указания за това какво трябва да предприеме по време на задачата. Първият основен елемент е инструкцията, която кратко и ясно поставя основните изисквания за работа и времевата рамка на упражнението. Следва основен текст, който неутрално описва противоречие, </w:t>
      </w:r>
      <w:r w:rsidRPr="008A7C3F">
        <w:rPr>
          <w:rFonts w:ascii="Times New Roman" w:hAnsi="Times New Roman" w:cs="Times New Roman"/>
          <w:sz w:val="24"/>
          <w:szCs w:val="24"/>
        </w:rPr>
        <w:lastRenderedPageBreak/>
        <w:t>изискващо действие от страна на главния герой. Казусът е с незавършен финал,</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за да могат учениците да проектират евентуални последици от действието. След основния текст</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могат да бъдат формулирани конкретни въпроси, които да насочат учениците към модел на анализ, който включва изследване на ситуацията, аргументиране на действие и последиците от това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действие. По този начин се развиват аналитичните умения на участниците и се задава методология на анализ на ситуация, която е приложима и в ежедневието.</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Примерен модел за разработване на казус</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Инструкция: Представите си, че сте на мястото на главния герой в следната ситуация. Прочетете внимателно текста и отговорете на въпросите след него, като спазите изискванията, посочени в инструкцията. Подгответе се да представите своите идеи пред останалите групи. Разполагате с 20 минути за работа и 1 минута за представяне на решението си.</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“Този следобед тръгваш заедно с най-добрата си приятелка, за да си купи тоалет за коледния бал.</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Тя е тъжна и разстроена и ти я питаш какво й е. Момичето споделя, че е загубило новия си телефон,</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който родителите й с много лишения са успели да й купят. Влизате в магазина, разглеждате и тя си</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избира рокля, която да пробва. Когато влиза в пробната, надава радостен вик – в кабинката вижда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забравен телефон – много по-хубав и скъп от този, който е загубила. След първоначалната еуфория</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обаче се замисля и започва да се чуди как е правилно да се постъпи. Приятелката ти иска съвет, защото смята, че тази предколедна случка не е случайна...“</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1. Как бихте постъпили, ако попаднете в подобна ситуация? Посочете най-малко два варианта за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разрешаване на проблема в ситуацията (до 10 изречения) (2 точки).</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2. Защо смятате, че е най-добре да се постъпи по посочения начин? Посочете до 3 аргумента за</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всеки един от вариантите (до 10 изречения) (2 точки).</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3. Какви са според вас последиците от преките действия, които бихте предприели? (до 10 изречения) (2 точки)</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4. Преосмислете, оценете решенията в светлината на Библията – какъв отговор, какво нравствено послание ни предоставя Евангелското учение – и вземете конкретно решение за действие.</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Приложими области за извличане на актуални теми при решаване на казуси и дискусионни въпроси в религиозното обучение могат да бъдат следните области от учебното съдържание:</w:t>
      </w:r>
    </w:p>
    <w:p w:rsidR="008A7C3F" w:rsidRPr="004A7524" w:rsidRDefault="008A7C3F" w:rsidP="008A7C3F">
      <w:pPr>
        <w:pStyle w:val="ListParagraph"/>
        <w:numPr>
          <w:ilvl w:val="0"/>
          <w:numId w:val="2"/>
        </w:numPr>
        <w:spacing w:after="0" w:line="360" w:lineRule="auto"/>
        <w:ind w:firstLine="709"/>
        <w:rPr>
          <w:rFonts w:ascii="Times New Roman" w:hAnsi="Times New Roman" w:cs="Times New Roman"/>
          <w:sz w:val="24"/>
          <w:szCs w:val="24"/>
        </w:rPr>
      </w:pPr>
      <w:r w:rsidRPr="004A7524">
        <w:rPr>
          <w:rFonts w:ascii="Times New Roman" w:hAnsi="Times New Roman" w:cs="Times New Roman"/>
          <w:sz w:val="24"/>
          <w:szCs w:val="24"/>
        </w:rPr>
        <w:lastRenderedPageBreak/>
        <w:t>Библията: Старозаветни разкази – Каин и Авел; Авраам; Йосиф и неговите братя; Мойсей; Давид</w:t>
      </w:r>
      <w:r w:rsidR="004A7524" w:rsidRPr="004A7524">
        <w:rPr>
          <w:rFonts w:ascii="Times New Roman" w:hAnsi="Times New Roman" w:cs="Times New Roman"/>
          <w:sz w:val="24"/>
          <w:szCs w:val="24"/>
          <w:lang w:val="en-US"/>
        </w:rPr>
        <w:t xml:space="preserve"> </w:t>
      </w:r>
      <w:r w:rsidRPr="004A7524">
        <w:rPr>
          <w:rFonts w:ascii="Times New Roman" w:hAnsi="Times New Roman" w:cs="Times New Roman"/>
          <w:sz w:val="24"/>
          <w:szCs w:val="24"/>
        </w:rPr>
        <w:t>и Голиат и др., както и Новозаветното учение и евангелските разкази – Иисус Христос и различните хора, с които се среща, библейските притчи: за самарянина, за митаря и фарисея и др.</w:t>
      </w:r>
    </w:p>
    <w:p w:rsidR="008A7C3F" w:rsidRPr="004A7524" w:rsidRDefault="008A7C3F" w:rsidP="008A7C3F">
      <w:pPr>
        <w:pStyle w:val="ListParagraph"/>
        <w:numPr>
          <w:ilvl w:val="0"/>
          <w:numId w:val="2"/>
        </w:numPr>
        <w:spacing w:after="0" w:line="360" w:lineRule="auto"/>
        <w:ind w:firstLine="709"/>
        <w:rPr>
          <w:rFonts w:ascii="Times New Roman" w:hAnsi="Times New Roman" w:cs="Times New Roman"/>
          <w:sz w:val="24"/>
          <w:szCs w:val="24"/>
        </w:rPr>
      </w:pPr>
      <w:r w:rsidRPr="004A7524">
        <w:rPr>
          <w:rFonts w:ascii="Times New Roman" w:hAnsi="Times New Roman" w:cs="Times New Roman"/>
          <w:sz w:val="24"/>
          <w:szCs w:val="24"/>
        </w:rPr>
        <w:t>Съвременни църкви и интерцърковни изследвания: конфесионално разнообразие в рамките на</w:t>
      </w:r>
      <w:r w:rsidR="004A7524" w:rsidRPr="004A7524">
        <w:rPr>
          <w:rFonts w:ascii="Times New Roman" w:hAnsi="Times New Roman" w:cs="Times New Roman"/>
          <w:sz w:val="24"/>
          <w:szCs w:val="24"/>
          <w:lang w:val="en-US"/>
        </w:rPr>
        <w:t xml:space="preserve"> </w:t>
      </w:r>
      <w:r w:rsidRPr="004A7524">
        <w:rPr>
          <w:rFonts w:ascii="Times New Roman" w:hAnsi="Times New Roman" w:cs="Times New Roman"/>
          <w:sz w:val="24"/>
          <w:szCs w:val="24"/>
        </w:rPr>
        <w:t>християнството; отношенията между християните; етническо многообразие в рамките на</w:t>
      </w:r>
      <w:r w:rsidR="004A7524" w:rsidRPr="004A7524">
        <w:rPr>
          <w:rFonts w:ascii="Times New Roman" w:hAnsi="Times New Roman" w:cs="Times New Roman"/>
          <w:sz w:val="24"/>
          <w:szCs w:val="24"/>
          <w:lang w:val="en-US"/>
        </w:rPr>
        <w:t xml:space="preserve"> </w:t>
      </w:r>
      <w:r w:rsidRPr="004A7524">
        <w:rPr>
          <w:rFonts w:ascii="Times New Roman" w:hAnsi="Times New Roman" w:cs="Times New Roman"/>
          <w:sz w:val="24"/>
          <w:szCs w:val="24"/>
        </w:rPr>
        <w:t>християнството; културни различия между християните;</w:t>
      </w:r>
    </w:p>
    <w:p w:rsidR="008A7C3F" w:rsidRPr="004A7524" w:rsidRDefault="008A7C3F" w:rsidP="008A7C3F">
      <w:pPr>
        <w:pStyle w:val="ListParagraph"/>
        <w:numPr>
          <w:ilvl w:val="0"/>
          <w:numId w:val="2"/>
        </w:numPr>
        <w:spacing w:after="0" w:line="360" w:lineRule="auto"/>
        <w:ind w:firstLine="709"/>
        <w:rPr>
          <w:rFonts w:ascii="Times New Roman" w:hAnsi="Times New Roman" w:cs="Times New Roman"/>
          <w:sz w:val="24"/>
          <w:szCs w:val="24"/>
        </w:rPr>
      </w:pPr>
      <w:r w:rsidRPr="004A7524">
        <w:rPr>
          <w:rFonts w:ascii="Times New Roman" w:hAnsi="Times New Roman" w:cs="Times New Roman"/>
          <w:sz w:val="24"/>
          <w:szCs w:val="24"/>
        </w:rPr>
        <w:t>Вяра и интеррелигиозни изследвания: световните религии – избягване на стереотипите; връзки между религиите; религиозно, етническо, културно, национално разнообразие;</w:t>
      </w:r>
    </w:p>
    <w:p w:rsidR="008A7C3F" w:rsidRPr="004A7524" w:rsidRDefault="008A7C3F" w:rsidP="008A7C3F">
      <w:pPr>
        <w:pStyle w:val="ListParagraph"/>
        <w:numPr>
          <w:ilvl w:val="0"/>
          <w:numId w:val="2"/>
        </w:numPr>
        <w:spacing w:after="0" w:line="360" w:lineRule="auto"/>
        <w:ind w:firstLine="709"/>
        <w:rPr>
          <w:rFonts w:ascii="Times New Roman" w:hAnsi="Times New Roman" w:cs="Times New Roman"/>
          <w:sz w:val="24"/>
          <w:szCs w:val="24"/>
        </w:rPr>
      </w:pPr>
      <w:r w:rsidRPr="004A7524">
        <w:rPr>
          <w:rFonts w:ascii="Times New Roman" w:hAnsi="Times New Roman" w:cs="Times New Roman"/>
          <w:sz w:val="24"/>
          <w:szCs w:val="24"/>
        </w:rPr>
        <w:t>Събития от новата и най-нова история, които провокират проблеми, свързани с националната независимост, гражданските права; правосъдието и равенството, мира и помирението,</w:t>
      </w:r>
      <w:r w:rsidR="004A7524" w:rsidRPr="004A7524">
        <w:rPr>
          <w:rFonts w:ascii="Times New Roman" w:hAnsi="Times New Roman" w:cs="Times New Roman"/>
          <w:sz w:val="24"/>
          <w:szCs w:val="24"/>
          <w:lang w:val="en-US"/>
        </w:rPr>
        <w:t xml:space="preserve"> </w:t>
      </w:r>
      <w:r w:rsidRPr="004A7524">
        <w:rPr>
          <w:rFonts w:ascii="Times New Roman" w:hAnsi="Times New Roman" w:cs="Times New Roman"/>
          <w:sz w:val="24"/>
          <w:szCs w:val="24"/>
        </w:rPr>
        <w:t>прошката;</w:t>
      </w:r>
    </w:p>
    <w:p w:rsidR="008A7C3F" w:rsidRPr="004A7524" w:rsidRDefault="008A7C3F" w:rsidP="008A7C3F">
      <w:pPr>
        <w:pStyle w:val="ListParagraph"/>
        <w:numPr>
          <w:ilvl w:val="0"/>
          <w:numId w:val="2"/>
        </w:numPr>
        <w:spacing w:after="0" w:line="360" w:lineRule="auto"/>
        <w:ind w:firstLine="709"/>
        <w:rPr>
          <w:rFonts w:ascii="Times New Roman" w:hAnsi="Times New Roman" w:cs="Times New Roman"/>
          <w:sz w:val="24"/>
          <w:szCs w:val="24"/>
        </w:rPr>
      </w:pPr>
      <w:r w:rsidRPr="004A7524">
        <w:rPr>
          <w:rFonts w:ascii="Times New Roman" w:hAnsi="Times New Roman" w:cs="Times New Roman"/>
          <w:sz w:val="24"/>
          <w:szCs w:val="24"/>
        </w:rPr>
        <w:t>етични въпроси и теми: човешките взаимоотношения, приятелство, конфликти, мир и правосъдие, справедливост, помирение и др.</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Не е възможно в рамките на един обучителен цикъл да бъдат обсъдени всички казуси и дискусионни въпроси, възникващи в рамките на учебното съдържание на обучението по религия. Учителят</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трябва да предложи към всяка тема такива дейности, които са най-подходящи за конкретния клас</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и опонират на неговия собствен педагогически стил и методи на управление на процесите в класната стая. Не бива да бъдат пренебрегвани и други методи на обучение, които опонират на младите</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хора. Специално внимание заслужават и различните видове аудио-визуални средства като мултимедийни презентации, филми, снимки, картини, икони и др. Учителят по религия трябва непрекъснато да търси нови учебни форми, методи и средства, чрез които да поставя екзистенциално важни</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въпроси и да стимулира разрешаването на проблемни въпроси в контекста на религиозното образование. И не на последно място, той не бива да забравя, че един от най-важните фактори, определящ</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равнището на духовно-равствената и познавателно-формираща дейност в обучението по религия</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е именно учителят, динамиката на неговия живот в благодатта, която може да доведе обучаваните</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до осъзнат избор във вярата и собствен духовен път.</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lastRenderedPageBreak/>
        <w:t>Литература</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1. Дерменджиева, С., П. Събева, Б. Димитрова. География и образование. Методика на обучението</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по география. I част. Университетско издателство „Св. св. Кирил и Методий“, Велико Търново, 2010.</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2. Костова, З. Как да учим успешно. Иновации в обучението. С., Педагог, 1999.</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3. Мухина, С. А., А.А. Соловьева. Современнье инновационньие технологии обучения. М., 2008.</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4. Попова, Ю. Обучение чрез казуси по дисциплината „Междукултурна комуникация“ – В: Научни</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трудове на Русенския университет, том 47, серия 6.2, 2008.</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5. Рангелова, Е. Методика на възпитателната дейност в училище. С., ИК „Комливес-Любомир</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Минковски“, 2003.</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6. Borzak, L. (ed.) (1981) Field Study. A source book for experiential learning, Beverley Hills: Sage Publications,</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p. 9, quoted in Brookfield, S. D. (1983) Adult Learning, Adult Education and the Community Milton Keynes</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Open University Press.</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7. Kolb, D. A. (1976) The Learning Style Inventory: Technical Manual. Boston, Ma.: McBer.</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8. Kolb, D. A. (1981) Learning styles and disciplinary differences. In: A. W. Chickering (ed.) The Modern</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American College, San Francisco: Jossey-Bass; Kolb, D. A. (1984) Experiential Learning, Englewood Cliffs,</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NJ.: Prentice Hall.</w:t>
      </w:r>
    </w:p>
    <w:p w:rsidR="008A7C3F" w:rsidRPr="008A7C3F" w:rsidRDefault="008A7C3F" w:rsidP="008A7C3F">
      <w:pPr>
        <w:spacing w:after="0" w:line="360" w:lineRule="auto"/>
        <w:ind w:firstLine="709"/>
        <w:rPr>
          <w:rFonts w:ascii="Times New Roman" w:hAnsi="Times New Roman" w:cs="Times New Roman"/>
          <w:sz w:val="24"/>
          <w:szCs w:val="24"/>
        </w:rPr>
      </w:pPr>
      <w:r w:rsidRPr="008A7C3F">
        <w:rPr>
          <w:rFonts w:ascii="Times New Roman" w:hAnsi="Times New Roman" w:cs="Times New Roman"/>
          <w:sz w:val="24"/>
          <w:szCs w:val="24"/>
        </w:rPr>
        <w:t>9. Kolb. D. A. and Fry, R. (1975) Toward an applied theory of experiential learning. In: C. Cooper (ed.)</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Theories of Group Process, London: John Wiley.</w:t>
      </w:r>
    </w:p>
    <w:p w:rsidR="008A7C3F" w:rsidRDefault="008A7C3F" w:rsidP="008A7C3F">
      <w:pPr>
        <w:spacing w:after="0" w:line="360" w:lineRule="auto"/>
        <w:ind w:firstLine="709"/>
        <w:rPr>
          <w:rFonts w:ascii="Times New Roman" w:hAnsi="Times New Roman" w:cs="Times New Roman"/>
          <w:sz w:val="24"/>
          <w:szCs w:val="24"/>
          <w:lang w:val="en-US"/>
        </w:rPr>
      </w:pPr>
      <w:r w:rsidRPr="008A7C3F">
        <w:rPr>
          <w:rFonts w:ascii="Times New Roman" w:hAnsi="Times New Roman" w:cs="Times New Roman"/>
          <w:sz w:val="24"/>
          <w:szCs w:val="24"/>
        </w:rPr>
        <w:t>10. Oxendine, C., Robinson, J., &amp; Willson, G., 2004, Experiential learning, in M. Orey (Ed.), Emerging</w:t>
      </w:r>
      <w:r w:rsidR="004A7524">
        <w:rPr>
          <w:rFonts w:ascii="Times New Roman" w:hAnsi="Times New Roman" w:cs="Times New Roman"/>
          <w:sz w:val="24"/>
          <w:szCs w:val="24"/>
          <w:lang w:val="en-US"/>
        </w:rPr>
        <w:t xml:space="preserve"> </w:t>
      </w:r>
      <w:r w:rsidRPr="008A7C3F">
        <w:rPr>
          <w:rFonts w:ascii="Times New Roman" w:hAnsi="Times New Roman" w:cs="Times New Roman"/>
          <w:sz w:val="24"/>
          <w:szCs w:val="24"/>
        </w:rPr>
        <w:t xml:space="preserve">perspectives on learning, teaching, and technology. </w:t>
      </w:r>
      <w:hyperlink r:id="rId10" w:history="1">
        <w:r w:rsidR="006652BF" w:rsidRPr="00BA1FA9">
          <w:rPr>
            <w:rStyle w:val="Hyperlink"/>
            <w:rFonts w:ascii="Times New Roman" w:hAnsi="Times New Roman" w:cs="Times New Roman"/>
            <w:sz w:val="24"/>
            <w:szCs w:val="24"/>
          </w:rPr>
          <w:t>http://www.coe.uga.edu/epltt/elt.htm</w:t>
        </w:r>
      </w:hyperlink>
    </w:p>
    <w:p w:rsidR="006652BF" w:rsidRDefault="006652BF" w:rsidP="008A7C3F">
      <w:pPr>
        <w:spacing w:after="0" w:line="360" w:lineRule="auto"/>
        <w:ind w:firstLine="709"/>
        <w:rPr>
          <w:rFonts w:ascii="Times New Roman" w:hAnsi="Times New Roman" w:cs="Times New Roman"/>
          <w:sz w:val="24"/>
          <w:szCs w:val="24"/>
          <w:lang w:val="en-US"/>
        </w:rPr>
      </w:pPr>
    </w:p>
    <w:p w:rsidR="006652BF" w:rsidRDefault="006652BF" w:rsidP="008A7C3F">
      <w:pPr>
        <w:spacing w:after="0" w:line="360" w:lineRule="auto"/>
        <w:ind w:firstLine="709"/>
        <w:rPr>
          <w:rFonts w:ascii="Times New Roman" w:hAnsi="Times New Roman" w:cs="Times New Roman"/>
          <w:sz w:val="24"/>
          <w:szCs w:val="24"/>
          <w:lang w:val="en-US"/>
        </w:rPr>
      </w:pPr>
    </w:p>
    <w:p w:rsidR="00FA5D52" w:rsidRDefault="00FA5D52" w:rsidP="004A4192">
      <w:pPr>
        <w:autoSpaceDE w:val="0"/>
        <w:autoSpaceDN w:val="0"/>
        <w:adjustRightInd w:val="0"/>
        <w:spacing w:after="0" w:line="240" w:lineRule="auto"/>
        <w:rPr>
          <w:rFonts w:ascii="SPLulinBu-SemiBold" w:eastAsia="SPLulinBu-SemiBold" w:cs="SPLulinBu-SemiBold"/>
          <w:b/>
          <w:bCs/>
          <w:sz w:val="24"/>
          <w:szCs w:val="24"/>
        </w:rPr>
      </w:pPr>
    </w:p>
    <w:p w:rsidR="00FA5D52" w:rsidRDefault="00FA5D52" w:rsidP="004A4192">
      <w:pPr>
        <w:autoSpaceDE w:val="0"/>
        <w:autoSpaceDN w:val="0"/>
        <w:adjustRightInd w:val="0"/>
        <w:spacing w:after="0" w:line="240" w:lineRule="auto"/>
        <w:rPr>
          <w:rFonts w:ascii="SPLulinBu-SemiBold" w:eastAsia="SPLulinBu-SemiBold" w:cs="SPLulinBu-SemiBold"/>
          <w:b/>
          <w:bCs/>
          <w:sz w:val="24"/>
          <w:szCs w:val="24"/>
        </w:rPr>
      </w:pPr>
    </w:p>
    <w:p w:rsidR="00FA5D52" w:rsidRDefault="00FA5D52" w:rsidP="004A4192">
      <w:pPr>
        <w:autoSpaceDE w:val="0"/>
        <w:autoSpaceDN w:val="0"/>
        <w:adjustRightInd w:val="0"/>
        <w:spacing w:after="0" w:line="240" w:lineRule="auto"/>
        <w:rPr>
          <w:rFonts w:ascii="SPLulinBu-SemiBold" w:eastAsia="SPLulinBu-SemiBold" w:cs="SPLulinBu-SemiBold"/>
          <w:b/>
          <w:bCs/>
          <w:sz w:val="24"/>
          <w:szCs w:val="24"/>
        </w:rPr>
      </w:pPr>
    </w:p>
    <w:p w:rsidR="00FA5D52" w:rsidRDefault="00FA5D52" w:rsidP="004A4192">
      <w:pPr>
        <w:autoSpaceDE w:val="0"/>
        <w:autoSpaceDN w:val="0"/>
        <w:adjustRightInd w:val="0"/>
        <w:spacing w:after="0" w:line="240" w:lineRule="auto"/>
        <w:rPr>
          <w:rFonts w:ascii="SPLulinBu-SemiBold" w:eastAsia="SPLulinBu-SemiBold" w:cs="SPLulinBu-SemiBold"/>
          <w:b/>
          <w:bCs/>
          <w:sz w:val="24"/>
          <w:szCs w:val="24"/>
        </w:rPr>
      </w:pPr>
    </w:p>
    <w:p w:rsidR="00FA5D52" w:rsidRDefault="00FA5D52" w:rsidP="004A4192">
      <w:pPr>
        <w:autoSpaceDE w:val="0"/>
        <w:autoSpaceDN w:val="0"/>
        <w:adjustRightInd w:val="0"/>
        <w:spacing w:after="0" w:line="240" w:lineRule="auto"/>
        <w:rPr>
          <w:rFonts w:ascii="SPLulinBu-SemiBold" w:eastAsia="SPLulinBu-SemiBold" w:cs="SPLulinBu-SemiBold"/>
          <w:b/>
          <w:bCs/>
          <w:sz w:val="24"/>
          <w:szCs w:val="24"/>
        </w:rPr>
      </w:pPr>
    </w:p>
    <w:p w:rsidR="00FA5D52" w:rsidRDefault="00FA5D52" w:rsidP="004A4192">
      <w:pPr>
        <w:autoSpaceDE w:val="0"/>
        <w:autoSpaceDN w:val="0"/>
        <w:adjustRightInd w:val="0"/>
        <w:spacing w:after="0" w:line="240" w:lineRule="auto"/>
        <w:rPr>
          <w:rFonts w:ascii="SPLulinBu-SemiBold" w:eastAsia="SPLulinBu-SemiBold" w:cs="SPLulinBu-SemiBold"/>
          <w:b/>
          <w:bCs/>
          <w:sz w:val="24"/>
          <w:szCs w:val="24"/>
        </w:rPr>
      </w:pPr>
    </w:p>
    <w:p w:rsidR="00FA5D52" w:rsidRDefault="00FA5D52" w:rsidP="004A4192">
      <w:pPr>
        <w:autoSpaceDE w:val="0"/>
        <w:autoSpaceDN w:val="0"/>
        <w:adjustRightInd w:val="0"/>
        <w:spacing w:after="0" w:line="240" w:lineRule="auto"/>
        <w:rPr>
          <w:rFonts w:ascii="SPLulinBu-SemiBold" w:eastAsia="SPLulinBu-SemiBold" w:cs="SPLulinBu-SemiBold"/>
          <w:b/>
          <w:bCs/>
          <w:sz w:val="24"/>
          <w:szCs w:val="24"/>
        </w:rPr>
      </w:pPr>
    </w:p>
    <w:p w:rsidR="006652BF" w:rsidRPr="00FA5D52" w:rsidRDefault="004A419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r w:rsidRPr="00FA5D52">
        <w:rPr>
          <w:rFonts w:ascii="Times New Roman" w:eastAsia="SPLulinBu-SemiBold" w:hAnsi="Times New Roman" w:cs="Times New Roman"/>
          <w:b/>
          <w:bCs/>
          <w:sz w:val="24"/>
          <w:szCs w:val="24"/>
        </w:rPr>
        <w:lastRenderedPageBreak/>
        <w:t>УЧЕБНИКЪТ ПО „ПРАЗНИЧЕН КАЛЕНДАР“ – МЕТОДИЧНА ИНОВАЦИЯ В</w:t>
      </w:r>
      <w:r w:rsidR="00FA5D52">
        <w:rPr>
          <w:rFonts w:ascii="Times New Roman" w:eastAsia="SPLulinBu-SemiBold" w:hAnsi="Times New Roman" w:cs="Times New Roman"/>
          <w:b/>
          <w:bCs/>
          <w:sz w:val="24"/>
          <w:szCs w:val="24"/>
          <w:lang w:val="en-US"/>
        </w:rPr>
        <w:t xml:space="preserve"> </w:t>
      </w:r>
      <w:r w:rsidRPr="00FA5D52">
        <w:rPr>
          <w:rFonts w:ascii="Times New Roman" w:eastAsia="SPLulinBu-SemiBold" w:hAnsi="Times New Roman" w:cs="Times New Roman"/>
          <w:b/>
          <w:bCs/>
          <w:sz w:val="24"/>
          <w:szCs w:val="24"/>
        </w:rPr>
        <w:t>АКАДЕМИЧНОТО ОБУЧЕНИЕ ПО РЕЛИГИЯ</w:t>
      </w:r>
    </w:p>
    <w:p w:rsidR="004A4192" w:rsidRPr="00FA5D52" w:rsidRDefault="004A419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r w:rsidRPr="00FA5D52">
        <w:rPr>
          <w:rFonts w:ascii="Times New Roman" w:eastAsia="SPLulinBu-SemiBold" w:hAnsi="Times New Roman" w:cs="Times New Roman"/>
          <w:b/>
          <w:bCs/>
          <w:sz w:val="24"/>
          <w:szCs w:val="24"/>
        </w:rPr>
        <w:t>гл. ас. д-р Светла Шапкалова</w:t>
      </w:r>
      <w:r w:rsidR="00FA5D52">
        <w:rPr>
          <w:rFonts w:ascii="Times New Roman" w:eastAsia="SPLulinBu-SemiBold" w:hAnsi="Times New Roman" w:cs="Times New Roman"/>
          <w:b/>
          <w:bCs/>
          <w:sz w:val="24"/>
          <w:szCs w:val="24"/>
          <w:lang w:val="en-US"/>
        </w:rPr>
        <w:t xml:space="preserve"> - </w:t>
      </w:r>
      <w:r w:rsidRPr="00FA5D52">
        <w:rPr>
          <w:rFonts w:ascii="Times New Roman" w:eastAsia="SPLulinBu-SemiBold" w:hAnsi="Times New Roman" w:cs="Times New Roman"/>
          <w:b/>
          <w:bCs/>
          <w:sz w:val="24"/>
          <w:szCs w:val="24"/>
        </w:rPr>
        <w:t>Университет по библиотекознание и информационни технологии, София</w:t>
      </w: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4A4192" w:rsidRPr="00FA5D52" w:rsidRDefault="004A419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r w:rsidRPr="00FA5D52">
        <w:rPr>
          <w:rFonts w:ascii="Times New Roman" w:eastAsia="SPLulinBu-SemiBold" w:hAnsi="Times New Roman" w:cs="Times New Roman"/>
          <w:b/>
          <w:bCs/>
          <w:sz w:val="24"/>
          <w:szCs w:val="24"/>
        </w:rPr>
        <w:t>TEXTBOOK „HOLIDAY CALENDAR“ – METHODICAL INNOVATION IN ACADEMIC</w:t>
      </w:r>
      <w:r w:rsidR="00FA5D52">
        <w:rPr>
          <w:rFonts w:ascii="Times New Roman" w:eastAsia="SPLulinBu-SemiBold" w:hAnsi="Times New Roman" w:cs="Times New Roman"/>
          <w:b/>
          <w:bCs/>
          <w:sz w:val="24"/>
          <w:szCs w:val="24"/>
          <w:lang w:val="en-US"/>
        </w:rPr>
        <w:t xml:space="preserve"> </w:t>
      </w:r>
      <w:r w:rsidRPr="00FA5D52">
        <w:rPr>
          <w:rFonts w:ascii="Times New Roman" w:eastAsia="SPLulinBu-SemiBold" w:hAnsi="Times New Roman" w:cs="Times New Roman"/>
          <w:b/>
          <w:bCs/>
          <w:sz w:val="24"/>
          <w:szCs w:val="24"/>
        </w:rPr>
        <w:t>RELIGIOUS TEACHING</w:t>
      </w:r>
    </w:p>
    <w:p w:rsidR="004A4192" w:rsidRPr="00FA5D52" w:rsidRDefault="004A419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r w:rsidRPr="00FA5D52">
        <w:rPr>
          <w:rFonts w:ascii="Times New Roman" w:eastAsia="SPLulinBu-SemiBold" w:hAnsi="Times New Roman" w:cs="Times New Roman"/>
          <w:b/>
          <w:bCs/>
          <w:sz w:val="24"/>
          <w:szCs w:val="24"/>
        </w:rPr>
        <w:t>Dr. Svetla Shapkalova</w:t>
      </w:r>
      <w:r w:rsidR="00FA5D52">
        <w:rPr>
          <w:rFonts w:ascii="Times New Roman" w:eastAsia="SPLulinBu-SemiBold" w:hAnsi="Times New Roman" w:cs="Times New Roman"/>
          <w:b/>
          <w:bCs/>
          <w:sz w:val="24"/>
          <w:szCs w:val="24"/>
          <w:lang w:val="en-US"/>
        </w:rPr>
        <w:t xml:space="preserve"> - </w:t>
      </w:r>
      <w:r w:rsidRPr="00FA5D52">
        <w:rPr>
          <w:rFonts w:ascii="Times New Roman" w:eastAsia="SPLulinBu-SemiBold" w:hAnsi="Times New Roman" w:cs="Times New Roman"/>
          <w:b/>
          <w:bCs/>
          <w:sz w:val="24"/>
          <w:szCs w:val="24"/>
        </w:rPr>
        <w:t>State University of Library Studies and Information Technologies, Sofia</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SemiBold" w:hAnsi="Times New Roman" w:cs="Times New Roman"/>
          <w:b/>
          <w:bCs/>
          <w:sz w:val="24"/>
          <w:szCs w:val="24"/>
        </w:rPr>
        <w:t xml:space="preserve">Abstract. </w:t>
      </w:r>
      <w:r w:rsidRPr="00FA5D52">
        <w:rPr>
          <w:rFonts w:ascii="Times New Roman" w:eastAsia="SPLulinBu-Roman" w:hAnsi="Times New Roman" w:cs="Times New Roman"/>
          <w:sz w:val="24"/>
          <w:szCs w:val="24"/>
        </w:rPr>
        <w:t>The paper presents a good practice in methodology of university religious education. The aim is to</w:t>
      </w:r>
      <w:r w:rsidR="00F34EE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describe the book „Holiday Calendar“ with emphasis on its structure, target groups, and tasks. Last two academic</w:t>
      </w:r>
      <w:r w:rsidR="00F34EE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years the new methodology of textbook is probated into students‘ classes. Three other textbooks, used in religious</w:t>
      </w:r>
      <w:r w:rsidR="00F34EE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teaching, will be analysed with a view to using innovative methodological forms. Each of textbooks has new</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methodological innovation and successfully realize methodical experience that has a positive impact in academic</w:t>
      </w:r>
      <w:r w:rsidR="00F34EE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religious education in secular universities.</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SemiBold" w:hAnsi="Times New Roman" w:cs="Times New Roman"/>
          <w:b/>
          <w:bCs/>
          <w:sz w:val="24"/>
          <w:szCs w:val="24"/>
        </w:rPr>
        <w:t xml:space="preserve">Keywords: </w:t>
      </w:r>
      <w:r w:rsidRPr="00FA5D52">
        <w:rPr>
          <w:rFonts w:ascii="Times New Roman" w:eastAsia="SPLulinBu-Roman" w:hAnsi="Times New Roman" w:cs="Times New Roman"/>
          <w:sz w:val="24"/>
          <w:szCs w:val="24"/>
        </w:rPr>
        <w:t>textbook ‘Holiday calendar“; textbooks; methodological innovation; religious teaching; secular</w:t>
      </w:r>
      <w:r w:rsidR="00F34EE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university.</w:t>
      </w:r>
    </w:p>
    <w:p w:rsidR="00F34EEF" w:rsidRPr="00FA5D52" w:rsidRDefault="00F34EEF"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p>
    <w:p w:rsidR="004A4192" w:rsidRPr="00FA5D52" w:rsidRDefault="004A419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r w:rsidRPr="00FA5D52">
        <w:rPr>
          <w:rFonts w:ascii="Times New Roman" w:eastAsia="SPLulinBu-SemiBold" w:hAnsi="Times New Roman" w:cs="Times New Roman"/>
          <w:b/>
          <w:bCs/>
          <w:sz w:val="24"/>
          <w:szCs w:val="24"/>
        </w:rPr>
        <w:t>Академичното обучение по религия</w:t>
      </w:r>
    </w:p>
    <w:p w:rsidR="00F34EEF"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В Университета по библиотекознание и информационни технологии (УниБИТ), успоредно със</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специализираните учебни дисциплини, вече десет академични години, се преподават блок от учебни</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дисциплини по религия. Моделът на преподаване е неконфесионален. От 2004 г. до днес обучението</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обхваща студенти от различни специалности на ОКС бакалавър: Информационни фондове на културно-историческото наследство, Информационни ресурси на туризма, Архивистика и документалистика, Печатни комуникации, Библиотекознание и библиография, Библиотечен и информационен мениджмънт, Национална сигурност и културно наследство. Религиозни знания се преподават</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и в някои от магистърските програми: Защита на културно-историческото наследство в България,</w:t>
      </w:r>
      <w:r w:rsidR="00F34EE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Културен</w:t>
      </w:r>
      <w:r w:rsid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туризъм [5].</w:t>
      </w:r>
      <w:r w:rsidR="00F34EEF" w:rsidRPr="00FA5D52">
        <w:rPr>
          <w:rFonts w:ascii="Times New Roman" w:eastAsia="SPLulinBu-Roman" w:hAnsi="Times New Roman" w:cs="Times New Roman"/>
          <w:sz w:val="24"/>
          <w:szCs w:val="24"/>
          <w:lang w:val="en-US"/>
        </w:rPr>
        <w:t xml:space="preserve"> </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Учебните дисциплини са ориентирани към световните религиите, историята на религиозните</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общности в България, информационните фондове на религиозните центрове, религиозния плурализъм</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и празничния календар. Целите в обучението са: да се получат базови знания за религиозната философия и практика, да се развиват умения за самостоятелна работа, да се формира отношения към обществените явления и процеси, да се приема с разбиране религиозното различие, да се разбере важното</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мястото и значимостта на религията и религиозните ценности в живота на отделния човек.</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Към катедрата по „Културно-историческо наследство“ на 6.12.2004 г. бе осветен учебният параклис „Св. Николай Чудотворец“, който се използва за практическа форма за обучение. В него се провеждат семинарни упражнения, извършват се водосвети за големите християнски празници и по повод откриването на учебната година. Към параклиса е създадена и богата библиотека с богословска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насоченост.</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Преподавателите по религия поддържат дългогодишни контакти и добри връзки с редица религиозни институции и неправителствени организации, чиито представители са канени да гостуват на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различни форуми и като гост-лектори: Св. Синод на БПЦ, Софийска духовна семинария, Ставропигиалните манастири – Рилски, Бачковски и Троянски манастир, Манастир Св. Мина край София, Богословски факултет на Софийския университет, Католическа апостолическа екзархия, Манастир на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 xml:space="preserve">сестрите евхаристинки, Католическа конкатедрала Св. Йосиф, Папска нунциатура, </w:t>
      </w:r>
      <w:r w:rsidRPr="00FA5D52">
        <w:rPr>
          <w:rFonts w:ascii="Times New Roman" w:eastAsia="SPLulinBu-Roman" w:hAnsi="Times New Roman" w:cs="Times New Roman"/>
          <w:sz w:val="24"/>
          <w:szCs w:val="24"/>
        </w:rPr>
        <w:lastRenderedPageBreak/>
        <w:t>редица протестантски църкви, Главно мюфтийство, джамия Баня баши, Софийска синагога, Еврейски исторически</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музей, Организация на евреите в България Шалом, Общност Бяло братство и др.</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През учебните 2009-2014 г. се подготвиха и осъществиха успешно четири научноизследователски проекта, в които са ангажирани преподаватели, докторанти, студенти от всички степени на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обучение, специалности и курове: Проучване на историята, актуалните проблеми, съхраняването и</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социализацията на културното наследство на религиозните деноминации в България (2009), Проучване и социализация на културно-историческото наследство на религиозните деноминации в България (2012), „Споделеното“ религиозно културно-историческо наследство: изследване и социализация</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в условия на мултикултурен диалог (2013) и Нематериалното религиозно наследство в криза: проучване на духовните ценности в съвременна България (2014).</w:t>
      </w:r>
    </w:p>
    <w:p w:rsidR="00FA5D5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Проектите социализират религиозното културно-историческо наследство на православните,</w:t>
      </w:r>
      <w:r w:rsidR="00F34EE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католиците, протестантите, арменогригорианците и мюсюлманите в България сред студентите</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 xml:space="preserve">от УниБИТ и формират у тях религиозна толерантност. Те комбинират различни методи на обучение: работа на терен, групова (екипна) работа, лекции на преподавателите титуляри и на експерти от практиката. Особено полезни се оказаха колективните теренни работи, проведени в Пазарджик и Кюстендил. След завръщането на проектната </w:t>
      </w:r>
    </w:p>
    <w:p w:rsidR="00F34EEF"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 xml:space="preserve">работа, участниците се включиха в два научни семинара: Методи за проучване и социализация на религиозното културно-историческо наследство във висшите училища. </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Студентите имаха възможност да представят своите научни съобщения, проведоха дискусия и подредиха Изложба с фотографии от личните си архиви. По проектите</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бяха издадени през 2012-2013 г. два тома на Електронно учебно помагало „Студентски дигитален архив по религиозно културно-историческо наследство“, където са публикувани авторски материали</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на студентите и докторантите по проектите.</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b/>
          <w:bCs/>
          <w:sz w:val="24"/>
          <w:szCs w:val="24"/>
        </w:rPr>
      </w:pPr>
      <w:r w:rsidRPr="00FA5D52">
        <w:rPr>
          <w:rFonts w:ascii="Times New Roman" w:eastAsia="SPLulinBu-Roman" w:hAnsi="Times New Roman" w:cs="Times New Roman"/>
          <w:b/>
          <w:bCs/>
          <w:sz w:val="24"/>
          <w:szCs w:val="24"/>
        </w:rPr>
        <w:t>Учебните пособия по религия</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Особено значение в учебния процес по религия имат учебниците, който са написани целенасочено</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за студентите от УниБИТ. Те следват актуалните новости в методиката на преподаване на религиозни знания, акцентират върху приложното знание, компетенциите, уменията и отношенията.</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Учебната литература, отпечатана от Издателство За буквите – О писминиехь, съчетава текст,</w:t>
      </w:r>
      <w:r w:rsidR="00F34EE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аудио и визуален материал и представлява интегрално цяло от лекции, христоматия, въпроси, задачи, понятиен апарат и илюстрации, а не сбор от текстове за учебна употреба.</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Първият написан учебник е по „История на религиозните деноминации в България“ с авторки</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Жоржета Назърска и Светла Шапкалова, издаден през 2009 г. Пособието включва лекции, упражнения,</w:t>
      </w:r>
      <w:r w:rsidR="00F34EE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подбрани учебни текстове. Към изданието има и компактдиск с изображения, схеми, музика и видеоклипове. В лекционната част се разглежда историята на основните религиозни общности у нас: история на християнската църква – православна, арменогригориянка, католическа, и протестантска.</w:t>
      </w:r>
      <w:r w:rsidR="00F34EEF" w:rsidRPr="00FA5D52">
        <w:rPr>
          <w:rFonts w:ascii="Times New Roman" w:eastAsia="SPLulinBu-Roman" w:hAnsi="Times New Roman" w:cs="Times New Roman"/>
          <w:sz w:val="24"/>
          <w:szCs w:val="24"/>
          <w:lang w:val="en-US"/>
        </w:rPr>
        <w:t xml:space="preserve"> </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Подробна са описани и мюсюлманска и израилтянска деноминация в България. В раздела „Богословски</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страници“ се дават важни катахезични сведения за Библията, десетте Божии заповеди, тайнствата, блаженството, постите, молитвата и др.</w:t>
      </w:r>
      <w:r w:rsidR="00F34EEF" w:rsidRPr="00FA5D52">
        <w:rPr>
          <w:rFonts w:ascii="Times New Roman" w:eastAsia="SPLulinBu-Roman" w:hAnsi="Times New Roman" w:cs="Times New Roman"/>
          <w:sz w:val="24"/>
          <w:szCs w:val="24"/>
          <w:lang w:val="en-US"/>
        </w:rPr>
        <w:t xml:space="preserve"> </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 xml:space="preserve">Дванайсетте упражнения са с придружаващи знания към лекционната част и с интерактивни форми затвърждават знанията. Към текста има и христоматия в която са </w:t>
      </w:r>
      <w:r w:rsidRPr="00FA5D52">
        <w:rPr>
          <w:rFonts w:ascii="Times New Roman" w:eastAsia="SPLulinBu-Roman" w:hAnsi="Times New Roman" w:cs="Times New Roman"/>
          <w:sz w:val="24"/>
          <w:szCs w:val="24"/>
        </w:rPr>
        <w:lastRenderedPageBreak/>
        <w:t>приложени примерни тестове, подбрани са религиозни документи, има речник на термините, както и примерни тестове [1, с. 3].</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Второто помагало излезе от печат през 2012 г. и допълва учебника. Жоржета Назърска и Светла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Шапкалова създават едно модерно учебно пособие „Речникът на религиозни термини, понятия и имена“. В съдържателно отношение то се разделя на трите Аврамическите религии: юдаизъм, християнство и ислям. Речниковият фонд обхваща религията като феномен, състоящ се от идеология, свещени книги, етика и ритуалност. Текстът на отделните статии е лаконичен и има информативна функция. За улеснение на читателите са изготвени именен и предметен показалец и е приложен</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списък на съкращенията на</w:t>
      </w:r>
      <w:r w:rsid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книгите от Библията, както и етикетът на обръщенията в Българската православна църква [2, с. 3].</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 xml:space="preserve">Учебникът по „Религиозен плурализъм“ е написан от Жоржета Назърска през 2013 г. и </w:t>
      </w:r>
      <w:r w:rsidR="00F34EEF" w:rsidRPr="00FA5D52">
        <w:rPr>
          <w:rFonts w:ascii="Times New Roman" w:eastAsia="SPLulinBu-Roman" w:hAnsi="Times New Roman" w:cs="Times New Roman"/>
          <w:sz w:val="24"/>
          <w:szCs w:val="24"/>
        </w:rPr>
        <w:t>Н</w:t>
      </w:r>
      <w:r w:rsidRPr="00FA5D52">
        <w:rPr>
          <w:rFonts w:ascii="Times New Roman" w:eastAsia="SPLulinBu-Roman" w:hAnsi="Times New Roman" w:cs="Times New Roman"/>
          <w:sz w:val="24"/>
          <w:szCs w:val="24"/>
        </w:rPr>
        <w:t>еговата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цел е да запознае студентите с актуални схващания за мястото и ролята на религията в съвременния свят, за връзката й с обществото, с културната идентичност и културно-историческото наследство. Той си поставя за задача да формира интелектуални и практически умения и отношения</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на емпатия към културното различие. Учебникът е структуриран в шест раздела, в които са дискутирани теоретични проблеми, представени са конкретни примери от Европа и Америка, описват се</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образователни технологии за упражнение и проверка и оценка на знания и умения, подбрани са документи и материали, поместени са авторски статии, мултимедийни презентации, визуални материали и фотографии от теренна работа [3, с. 3].</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b/>
          <w:bCs/>
          <w:sz w:val="24"/>
          <w:szCs w:val="24"/>
        </w:rPr>
      </w:pPr>
      <w:r w:rsidRPr="00FA5D52">
        <w:rPr>
          <w:rFonts w:ascii="Times New Roman" w:eastAsia="SPLulinBu-Roman" w:hAnsi="Times New Roman" w:cs="Times New Roman"/>
          <w:b/>
          <w:bCs/>
          <w:sz w:val="24"/>
          <w:szCs w:val="24"/>
        </w:rPr>
        <w:t>Методичната иновация в учебникът по „Празничен календар“.</w:t>
      </w:r>
    </w:p>
    <w:p w:rsidR="00F34EEF"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 xml:space="preserve">Необходимостта от написване на учебника по „Празничен календар“ възникна с </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въвеждането на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тази факултативна учебна дисциплина в учебните планове на Факултета по библиотекознание и</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културно наследство (ФБКН) в Университета по библиотекознание и информационни технологии</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(УниБИТ). Учебникът е съобразен с нуждите на студентското обучение, но може да се ползва и от</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всички, които проявяват интерес към разискваните въпроси. Самото учебно пособие, не би могло да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има претенции за уникалност и изчерпателност, защото съществуват доста тематични издания</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на български език и много информация в уеб пространството. Те са взети предвид при написването</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на текста и повечето са цитирани в използваните източници.</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Учебникът по „Празничен календар“ е издаден през 2012 г и негова авторка е Светла Шапкалова.</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Пособието е оригинално и иновативно в методологично отношение, защото е създаден за преподаване на знания по религия във висшето образование. Той е изцяло съобразен с учебната програма и дава основни догматични сведения и обяснява празничната обредност на Аврамичните религии – юдаизъм, християнство и ислям – с оглед на разпространението им в България. Всички празници са определящи за българското културно-историческо наследство. Засегнати са подробно православните празници, тъй като те са свързани с традиционното вероизповедание в страната ни. Изяснени са и официалните, националните и международните празници.</w:t>
      </w:r>
    </w:p>
    <w:p w:rsidR="00313CF0"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Съдържанието на учебника е разпределено в три раздела: учебен модул, интерактивни методи на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обучение и приложения. В учебния модул са включени дванадесет теми, разработени еднотипно в два</w:t>
      </w:r>
      <w:r w:rsidR="00F34EE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пункта: теоретични знания и предполагаеми резултати. В</w:t>
      </w:r>
      <w:r w:rsid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 xml:space="preserve">теоретичните знания се дава научна информация, без да се претендира за изчерпателност. В раздела с предполагаемите резултати има тематичен тест с девет въпроса, чиято цел е да провери усвоените знания. Препоръчва се и литература след всяка една тема, която е използвана за написване на лекцията, и е желателно тя да се прочете от студентите при необходимост от повече информация. </w:t>
      </w:r>
      <w:r w:rsidRPr="00FA5D52">
        <w:rPr>
          <w:rFonts w:ascii="Times New Roman" w:eastAsia="SPLulinBu-Roman" w:hAnsi="Times New Roman" w:cs="Times New Roman"/>
          <w:sz w:val="24"/>
          <w:szCs w:val="24"/>
        </w:rPr>
        <w:lastRenderedPageBreak/>
        <w:t>Интерактивните методи на обучение се използват в часовете, предвидени в учебния план за упражнения. Към всяка тема е създадена</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конкретна ролева игра. Всичките те са апробирани в обучението и в практиката се възприемат като</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интересни и приятни технологични модели за затвърждаване на знанията. В раздела е включен и работният лист, който е съставен конкретно за нуждите на учебната дисциплина и е предназначен за</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индивидуална работа на терен – описание на православен празник. Описанието на българските имена служи за ориентир на студентите и те имат възможност да проследят произхода на личното си</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име.</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Приложенията са подредени по номера и са съобразени с необходима допълнителна информация,</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която е нужна в учебния процес.</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В учебника умишлено няма илюстрации, защото разчита на информиращата си функция [4, с. 3].</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b/>
          <w:bCs/>
          <w:sz w:val="24"/>
          <w:szCs w:val="24"/>
        </w:rPr>
      </w:pPr>
      <w:r w:rsidRPr="00FA5D52">
        <w:rPr>
          <w:rFonts w:ascii="Times New Roman" w:eastAsia="SPLulinBu-Roman" w:hAnsi="Times New Roman" w:cs="Times New Roman"/>
          <w:b/>
          <w:bCs/>
          <w:sz w:val="24"/>
          <w:szCs w:val="24"/>
        </w:rPr>
        <w:t>Заключение</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Всяко едно от описаните учебни пособия представлява интерес за специалистите от различни научните среди. Независимо, че учебниците са предназначени за студентска аудитория, те биха</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могли да се ползват и в средното образование. Учебните пособия са разработени за нуждите на Университета по библиотекознание и информационни технологии, но ще бъдат един добър ориентир</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за преподаване на религиозни дисциплини и в други светски университетите, както и хуманитарни</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специалности където са необходими знания по религия.</w:t>
      </w:r>
      <w:r w:rsidR="00313CF0" w:rsidRPr="00FA5D52">
        <w:rPr>
          <w:rFonts w:ascii="Times New Roman" w:eastAsia="SPLulinBu-Roman" w:hAnsi="Times New Roman" w:cs="Times New Roman"/>
          <w:sz w:val="24"/>
          <w:szCs w:val="24"/>
          <w:lang w:val="en-US"/>
        </w:rPr>
        <w:t xml:space="preserve"> </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Посочените четири учебни помагала са взаимно свързани и имат еднакво външно оформление. Те</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успешно представят една осъществена добра практика в на неконфесионално преподаване на религиозни знания. Със своята методична иновация, с успешната си апробация пред студентите и с високата си резултатност, посочените учебници имат изцяло позитивно въздействие в академичното</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обучение по религия в светски университет.</w:t>
      </w:r>
      <w:r w:rsidR="00313CF0" w:rsidRPr="00FA5D52">
        <w:rPr>
          <w:rFonts w:ascii="Times New Roman" w:eastAsia="SPLulinBu-Roman" w:hAnsi="Times New Roman" w:cs="Times New Roman"/>
          <w:sz w:val="24"/>
          <w:szCs w:val="24"/>
          <w:lang w:val="en-US"/>
        </w:rPr>
        <w:t xml:space="preserve"> </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b/>
          <w:bCs/>
          <w:sz w:val="24"/>
          <w:szCs w:val="24"/>
        </w:rPr>
      </w:pP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b/>
          <w:bCs/>
          <w:sz w:val="24"/>
          <w:szCs w:val="24"/>
        </w:rPr>
      </w:pPr>
      <w:r w:rsidRPr="00FA5D52">
        <w:rPr>
          <w:rFonts w:ascii="Times New Roman" w:eastAsia="SPLulinBu-Roman" w:hAnsi="Times New Roman" w:cs="Times New Roman"/>
          <w:b/>
          <w:bCs/>
          <w:sz w:val="24"/>
          <w:szCs w:val="24"/>
        </w:rPr>
        <w:t>Литература</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1. Назърска, Жоржета, Светла Шапкалова. История на религиозните деноминации в България. –София: За Буквите-О писменехь, 2009. – 226 с.</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2. Назърска, Жоржета, Светла Шапкалова. Речник на религиозните понятия, термини и имена:</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Юдаизъм, Християнство и Ислям. – София: За Буквите-О писменехь, 2012. – 181 с.</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3. Назърска, Жоржета. Религиозен плурализъм. – София: За Буквите-О писменехь, 2013. – 208 с.</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4. Шапкалова, Светла. Празничен календар. София: За Буквите-О писменехь, 2012. – 136 с</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5. http://www.unibit.bg/</w:t>
      </w:r>
    </w:p>
    <w:p w:rsidR="004A4192" w:rsidRDefault="004A419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FA5D52" w:rsidRP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4A4192" w:rsidRPr="00FA5D52" w:rsidRDefault="004A419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p>
    <w:p w:rsidR="006652BF" w:rsidRPr="00FA5D52" w:rsidRDefault="006652BF"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r w:rsidRPr="00FA5D52">
        <w:rPr>
          <w:rFonts w:ascii="Times New Roman" w:eastAsia="SPLulinBu-SemiBold" w:hAnsi="Times New Roman" w:cs="Times New Roman"/>
          <w:b/>
          <w:bCs/>
          <w:sz w:val="24"/>
          <w:szCs w:val="24"/>
        </w:rPr>
        <w:lastRenderedPageBreak/>
        <w:t>ИНТЕРАКТИВНОТО ВЗАИМОДЕЙСТВИЕ НА УЧИЛИЩНОТО ОБУЧЕНИЕ</w:t>
      </w:r>
      <w:r w:rsidR="00FA5D52">
        <w:rPr>
          <w:rFonts w:ascii="Times New Roman" w:eastAsia="SPLulinBu-SemiBold" w:hAnsi="Times New Roman" w:cs="Times New Roman"/>
          <w:b/>
          <w:bCs/>
          <w:sz w:val="24"/>
          <w:szCs w:val="24"/>
          <w:lang w:val="en-US"/>
        </w:rPr>
        <w:t xml:space="preserve"> </w:t>
      </w:r>
      <w:r w:rsidRPr="00FA5D52">
        <w:rPr>
          <w:rFonts w:ascii="Times New Roman" w:eastAsia="SPLulinBu-SemiBold" w:hAnsi="Times New Roman" w:cs="Times New Roman"/>
          <w:b/>
          <w:bCs/>
          <w:sz w:val="24"/>
          <w:szCs w:val="24"/>
        </w:rPr>
        <w:t>ПО РЕЛИГИЯ И ХРАМОВАТА ПРАЗНИЧНА СРЕДА</w:t>
      </w:r>
    </w:p>
    <w:p w:rsidR="006652BF" w:rsidRPr="00FA5D52" w:rsidRDefault="006652BF"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r w:rsidRPr="00FA5D52">
        <w:rPr>
          <w:rFonts w:ascii="Times New Roman" w:eastAsia="SPLulinBu-SemiBold" w:hAnsi="Times New Roman" w:cs="Times New Roman"/>
          <w:b/>
          <w:bCs/>
          <w:sz w:val="24"/>
          <w:szCs w:val="24"/>
        </w:rPr>
        <w:t>Ивелина Василева Стефанова</w:t>
      </w:r>
      <w:r w:rsidR="00313CF0" w:rsidRPr="00FA5D52">
        <w:rPr>
          <w:rFonts w:ascii="Times New Roman" w:eastAsia="SPLulinBu-SemiBold" w:hAnsi="Times New Roman" w:cs="Times New Roman"/>
          <w:b/>
          <w:bCs/>
          <w:sz w:val="24"/>
          <w:szCs w:val="24"/>
        </w:rPr>
        <w:t xml:space="preserve"> - </w:t>
      </w:r>
      <w:r w:rsidRPr="00FA5D52">
        <w:rPr>
          <w:rFonts w:ascii="Times New Roman" w:eastAsia="SPLulinBu-SemiBold" w:hAnsi="Times New Roman" w:cs="Times New Roman"/>
          <w:b/>
          <w:bCs/>
          <w:sz w:val="24"/>
          <w:szCs w:val="24"/>
        </w:rPr>
        <w:t>ОУ „Бачо Киро“, гр. Велико Търново</w:t>
      </w: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6652BF" w:rsidRPr="00FA5D52" w:rsidRDefault="006652BF"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r w:rsidRPr="00FA5D52">
        <w:rPr>
          <w:rFonts w:ascii="Times New Roman" w:eastAsia="SPLulinBu-SemiBold" w:hAnsi="Times New Roman" w:cs="Times New Roman"/>
          <w:b/>
          <w:bCs/>
          <w:sz w:val="24"/>
          <w:szCs w:val="24"/>
        </w:rPr>
        <w:t>INTERACTION BETWEEN THE SCHOOL EDUCATION OF RELIGION AND THE CHURCH</w:t>
      </w:r>
      <w:r w:rsidR="00FA5D52">
        <w:rPr>
          <w:rFonts w:ascii="Times New Roman" w:eastAsia="SPLulinBu-SemiBold" w:hAnsi="Times New Roman" w:cs="Times New Roman"/>
          <w:b/>
          <w:bCs/>
          <w:sz w:val="24"/>
          <w:szCs w:val="24"/>
          <w:lang w:val="en-US"/>
        </w:rPr>
        <w:t xml:space="preserve"> </w:t>
      </w:r>
      <w:r w:rsidRPr="00FA5D52">
        <w:rPr>
          <w:rFonts w:ascii="Times New Roman" w:eastAsia="SPLulinBu-SemiBold" w:hAnsi="Times New Roman" w:cs="Times New Roman"/>
          <w:b/>
          <w:bCs/>
          <w:sz w:val="24"/>
          <w:szCs w:val="24"/>
        </w:rPr>
        <w:t>HOLIDAY ATMOSPHERE</w:t>
      </w:r>
    </w:p>
    <w:p w:rsidR="006652BF" w:rsidRPr="00FA5D52" w:rsidRDefault="006652BF"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rPr>
      </w:pPr>
      <w:r w:rsidRPr="00FA5D52">
        <w:rPr>
          <w:rFonts w:ascii="Times New Roman" w:eastAsia="SPLulinBu-SemiBold" w:hAnsi="Times New Roman" w:cs="Times New Roman"/>
          <w:b/>
          <w:bCs/>
          <w:sz w:val="24"/>
          <w:szCs w:val="24"/>
        </w:rPr>
        <w:t>Ivelina Vasileva Stefanova</w:t>
      </w:r>
      <w:r w:rsidR="00313CF0" w:rsidRPr="00FA5D52">
        <w:rPr>
          <w:rFonts w:ascii="Times New Roman" w:eastAsia="SPLulinBu-SemiBold" w:hAnsi="Times New Roman" w:cs="Times New Roman"/>
          <w:b/>
          <w:bCs/>
          <w:sz w:val="24"/>
          <w:szCs w:val="24"/>
          <w:lang w:val="en-US"/>
        </w:rPr>
        <w:t xml:space="preserve"> - </w:t>
      </w:r>
      <w:r w:rsidRPr="00FA5D52">
        <w:rPr>
          <w:rFonts w:ascii="Times New Roman" w:eastAsia="SPLulinBu-SemiBold" w:hAnsi="Times New Roman" w:cs="Times New Roman"/>
          <w:b/>
          <w:bCs/>
          <w:sz w:val="24"/>
          <w:szCs w:val="24"/>
        </w:rPr>
        <w:t>Bacho Kiro Primary School, Veliko Tarnovo</w:t>
      </w:r>
    </w:p>
    <w:p w:rsidR="00FA5D52" w:rsidRDefault="00FA5D52" w:rsidP="00FA5D52">
      <w:pPr>
        <w:autoSpaceDE w:val="0"/>
        <w:autoSpaceDN w:val="0"/>
        <w:adjustRightInd w:val="0"/>
        <w:spacing w:after="0" w:line="240" w:lineRule="auto"/>
        <w:ind w:firstLine="709"/>
        <w:jc w:val="both"/>
        <w:rPr>
          <w:rFonts w:ascii="Times New Roman" w:eastAsia="SPLulinBu-SemiBold" w:hAnsi="Times New Roman" w:cs="Times New Roman"/>
          <w:b/>
          <w:bCs/>
          <w:sz w:val="24"/>
          <w:szCs w:val="24"/>
          <w:lang w:val="en-US"/>
        </w:rPr>
      </w:pP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SemiBold" w:hAnsi="Times New Roman" w:cs="Times New Roman"/>
          <w:b/>
          <w:bCs/>
          <w:sz w:val="24"/>
          <w:szCs w:val="24"/>
        </w:rPr>
        <w:t>Abstract</w:t>
      </w:r>
      <w:r w:rsidRPr="00FA5D52">
        <w:rPr>
          <w:rFonts w:ascii="Times New Roman" w:eastAsia="SPLulinBu-Roman" w:hAnsi="Times New Roman" w:cs="Times New Roman"/>
          <w:sz w:val="24"/>
          <w:szCs w:val="24"/>
        </w:rPr>
        <w:t>. The report provides a good practice, used in the classroom in the free selective training in Religion</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of primary students, which reveals a way in which the modern school and the Bulgarian Orthodox Church</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spontaneously lead the child in the temple to get main knowledge, skills and attitude to this specific sphere of</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social life that makes the picture of the world complete. Using the traditional ritual of St. Haralampi’s Day, which</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has already been presented to parents, teachers and students through different activities in school and through</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influence of the church, the experience from the emotion of the holiday, gives the child a position of religious,</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ethnic and social appurtenance without feeling of discomfort of their own self-determination in a muliticultural</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modern society.</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SemiBold" w:hAnsi="Times New Roman" w:cs="Times New Roman"/>
          <w:b/>
          <w:bCs/>
          <w:sz w:val="24"/>
          <w:szCs w:val="24"/>
        </w:rPr>
        <w:t xml:space="preserve">Keywords: </w:t>
      </w:r>
      <w:r w:rsidRPr="00FA5D52">
        <w:rPr>
          <w:rFonts w:ascii="Times New Roman" w:eastAsia="SPLulinBu-Roman" w:hAnsi="Times New Roman" w:cs="Times New Roman"/>
          <w:sz w:val="24"/>
          <w:szCs w:val="24"/>
        </w:rPr>
        <w:t>religious bringing-up, free selective training, St.Haralampi’s Day</w:t>
      </w:r>
    </w:p>
    <w:p w:rsidR="00313CF0" w:rsidRPr="00FA5D52" w:rsidRDefault="00313CF0" w:rsidP="00FA5D52">
      <w:pPr>
        <w:autoSpaceDE w:val="0"/>
        <w:autoSpaceDN w:val="0"/>
        <w:adjustRightInd w:val="0"/>
        <w:spacing w:after="0" w:line="240" w:lineRule="auto"/>
        <w:ind w:firstLine="709"/>
        <w:jc w:val="both"/>
        <w:rPr>
          <w:rFonts w:ascii="Times New Roman" w:eastAsia="SPLulinBu-SemiBold" w:hAnsi="Times New Roman" w:cs="Times New Roman"/>
          <w:i/>
          <w:iCs/>
          <w:sz w:val="24"/>
          <w:szCs w:val="24"/>
          <w:lang w:val="en-US"/>
        </w:rPr>
      </w:pPr>
    </w:p>
    <w:p w:rsidR="006652BF" w:rsidRPr="00FA5D52" w:rsidRDefault="006652BF" w:rsidP="00FA5D52">
      <w:pPr>
        <w:autoSpaceDE w:val="0"/>
        <w:autoSpaceDN w:val="0"/>
        <w:adjustRightInd w:val="0"/>
        <w:spacing w:after="0" w:line="240" w:lineRule="auto"/>
        <w:ind w:firstLine="709"/>
        <w:jc w:val="both"/>
        <w:rPr>
          <w:rFonts w:ascii="Times New Roman" w:eastAsia="SPLulinBu-SemiBold" w:hAnsi="Times New Roman" w:cs="Times New Roman"/>
          <w:i/>
          <w:iCs/>
          <w:sz w:val="24"/>
          <w:szCs w:val="24"/>
        </w:rPr>
      </w:pPr>
      <w:r w:rsidRPr="00FA5D52">
        <w:rPr>
          <w:rFonts w:ascii="Times New Roman" w:eastAsia="SPLulinBu-SemiBold" w:hAnsi="Times New Roman" w:cs="Times New Roman"/>
          <w:i/>
          <w:iCs/>
          <w:sz w:val="24"/>
          <w:szCs w:val="24"/>
        </w:rPr>
        <w:t>„Добре е да дадеш глътка вода на жадния, но още по-добре е да му покажеш извора, за да пие колкото си</w:t>
      </w:r>
      <w:r w:rsidR="00313CF0" w:rsidRPr="00FA5D52">
        <w:rPr>
          <w:rFonts w:ascii="Times New Roman" w:eastAsia="SPLulinBu-SemiBold" w:hAnsi="Times New Roman" w:cs="Times New Roman"/>
          <w:i/>
          <w:iCs/>
          <w:sz w:val="24"/>
          <w:szCs w:val="24"/>
          <w:lang w:val="en-US"/>
        </w:rPr>
        <w:t xml:space="preserve"> </w:t>
      </w:r>
      <w:r w:rsidRPr="00FA5D52">
        <w:rPr>
          <w:rFonts w:ascii="Times New Roman" w:eastAsia="SPLulinBu-SemiBold" w:hAnsi="Times New Roman" w:cs="Times New Roman"/>
          <w:i/>
          <w:iCs/>
          <w:sz w:val="24"/>
          <w:szCs w:val="24"/>
        </w:rPr>
        <w:t>иска.“</w:t>
      </w:r>
      <w:r w:rsidR="00313CF0" w:rsidRPr="00FA5D52">
        <w:rPr>
          <w:rFonts w:ascii="Times New Roman" w:eastAsia="SPLulinBu-SemiBold" w:hAnsi="Times New Roman" w:cs="Times New Roman"/>
          <w:i/>
          <w:iCs/>
          <w:sz w:val="24"/>
          <w:szCs w:val="24"/>
          <w:lang w:val="en-US"/>
        </w:rPr>
        <w:t xml:space="preserve">   </w:t>
      </w:r>
      <w:r w:rsidRPr="00FA5D52">
        <w:rPr>
          <w:rFonts w:ascii="Times New Roman" w:eastAsia="SPLulinBu-SemiBold" w:hAnsi="Times New Roman" w:cs="Times New Roman"/>
          <w:i/>
          <w:iCs/>
          <w:sz w:val="24"/>
          <w:szCs w:val="24"/>
        </w:rPr>
        <w:t>Бачо Киро</w:t>
      </w:r>
    </w:p>
    <w:p w:rsidR="00FA5D52" w:rsidRDefault="00FA5D52"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Съвременното ни общество търси отговори на множество въпроси, касаещи възпитанието и</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личностното изграждане на младите хора. Религиозното възпитание, като част от цялостното изграждане на човешката личност, е отдавна спорен въпрос.</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В съвременната българската образователна система религиозното възпитание се</w:t>
      </w:r>
      <w:r w:rsid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реализира до</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голяма степен в часовете по СИП/ЗИП Религия и от части в часовете по Човекът и обществото,</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История и цивилизация. Часовете по религия предлагат знания</w:t>
      </w:r>
      <w:r w:rsid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 xml:space="preserve"> основно в сферата на православното християнство и православната църковна и народна обредност. Тук по-скоро можем да говорим</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за православна християнска грамотност и</w:t>
      </w:r>
      <w:r w:rsidR="00126DB1"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познание, които се придобиват в тези часове, ориентация в традиционната за българина религия, съхранила и извисила народа ни, знания с елементи на</w:t>
      </w:r>
      <w:r w:rsid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вероучение.</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 xml:space="preserve">Религиозното възпитание се осъществява в три посоки: семейството и неговото </w:t>
      </w:r>
      <w:r w:rsidR="00313CF0" w:rsidRPr="00FA5D52">
        <w:rPr>
          <w:rFonts w:ascii="Times New Roman" w:eastAsia="SPLulinBu-Roman" w:hAnsi="Times New Roman" w:cs="Times New Roman"/>
          <w:sz w:val="24"/>
          <w:szCs w:val="24"/>
        </w:rPr>
        <w:t>О</w:t>
      </w:r>
      <w:r w:rsidRPr="00FA5D52">
        <w:rPr>
          <w:rFonts w:ascii="Times New Roman" w:eastAsia="SPLulinBu-Roman" w:hAnsi="Times New Roman" w:cs="Times New Roman"/>
          <w:sz w:val="24"/>
          <w:szCs w:val="24"/>
        </w:rPr>
        <w:t>тношение</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към вяра и Църква като основополагащ фактор; училището – място, което разумно обяснява религиозните търсения на младия човек и утвърждава авторитета и важността на Православната Църква; самата Църква, която реализира и удовлетворява религиозното чувство на човека чрез богослужението и тайнствата, ръководена от невидимото присъствие на Иисус Христос.</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В училище младите хора получават малка част от необходимото им като християни – това не е</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ролята и задачата на българското училище (4). Храмът е съсредоточието на религиозния живот, където вярата е съпреживяна с хора, които носят същите копнежи, свободно споделят и реализират</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духовните си потребности, ръководени от Православната Църква и допълвани от българската обредност и традиция. Ето защо получените в училище знания по религия е нужно да бъдат „оживени“</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чрез прякото участие в църковния живот, което да даде на младия човек представа за случващото се</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в храма, да провокира размисли и мотивация за следващи посещения.</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 xml:space="preserve">Християнството е религия на свободния човек – то е личен път и личен кръст, който вярващият човек приема в живота си. За да бъде българското училище актуално </w:t>
      </w:r>
      <w:r w:rsidRPr="00FA5D52">
        <w:rPr>
          <w:rFonts w:ascii="Times New Roman" w:eastAsia="SPLulinBu-Roman" w:hAnsi="Times New Roman" w:cs="Times New Roman"/>
          <w:sz w:val="24"/>
          <w:szCs w:val="24"/>
        </w:rPr>
        <w:lastRenderedPageBreak/>
        <w:t>и задоволяващо потребностите на съвременните млади хора, то има ангажимента и да посочи пътя към православния храм на</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проявяващите духовно търсене. Колко ще тръгнат по този път не е отговорност на училището,</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важно е то да даде възможност на търсещите, като посочи официалната и многовековна религиозна</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принадлежност на българите.</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Разгръщайки още един от аспектите на училищния живот да предлага на младите хора разнообразни форми на познание, ние, учителите по религия и изобразително изкуство, съвместно със завеждащия Библиотечно-информационен център при ОУ „Бачо Киро“ – В. Търново, решихме да реализираме посещение на група ученици от СИП – Религия, в храм „Св. Николай Мирликийски Чудотворец“ за Харалампиевден. Целите, които си поставихме и задачите, които преследвахме са:</w:t>
      </w:r>
    </w:p>
    <w:p w:rsidR="00313CF0" w:rsidRPr="00FA5D52" w:rsidRDefault="00313CF0"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lang w:val="en-US"/>
        </w:rPr>
        <w:t>-</w:t>
      </w:r>
      <w:r w:rsidR="006652BF" w:rsidRPr="00FA5D52">
        <w:rPr>
          <w:rFonts w:ascii="Times New Roman" w:eastAsia="SPLulinBu-Roman" w:hAnsi="Times New Roman" w:cs="Times New Roman"/>
          <w:sz w:val="24"/>
          <w:szCs w:val="24"/>
        </w:rPr>
        <w:t xml:space="preserve"> </w:t>
      </w:r>
      <w:proofErr w:type="gramStart"/>
      <w:r w:rsidR="006652BF" w:rsidRPr="00FA5D52">
        <w:rPr>
          <w:rFonts w:ascii="Times New Roman" w:eastAsia="SPLulinBu-Roman" w:hAnsi="Times New Roman" w:cs="Times New Roman"/>
          <w:sz w:val="24"/>
          <w:szCs w:val="24"/>
        </w:rPr>
        <w:t>да</w:t>
      </w:r>
      <w:proofErr w:type="gramEnd"/>
      <w:r w:rsidR="006652BF" w:rsidRPr="00FA5D52">
        <w:rPr>
          <w:rFonts w:ascii="Times New Roman" w:eastAsia="SPLulinBu-Roman" w:hAnsi="Times New Roman" w:cs="Times New Roman"/>
          <w:sz w:val="24"/>
          <w:szCs w:val="24"/>
        </w:rPr>
        <w:t xml:space="preserve"> покажем конкретни практически модели за работа, чрез които да превърнем </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училището в</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желана територия на ученика;</w:t>
      </w:r>
    </w:p>
    <w:p w:rsidR="006652BF" w:rsidRPr="00FA5D52" w:rsidRDefault="00313CF0"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lang w:val="en-US"/>
        </w:rPr>
        <w:t>-</w:t>
      </w:r>
      <w:r w:rsidR="006652BF" w:rsidRPr="00FA5D52">
        <w:rPr>
          <w:rFonts w:ascii="Times New Roman" w:eastAsia="SPLulinBu-Roman" w:hAnsi="Times New Roman" w:cs="Times New Roman"/>
          <w:sz w:val="24"/>
          <w:szCs w:val="24"/>
        </w:rPr>
        <w:t xml:space="preserve"> </w:t>
      </w:r>
      <w:proofErr w:type="gramStart"/>
      <w:r w:rsidR="006652BF" w:rsidRPr="00FA5D52">
        <w:rPr>
          <w:rFonts w:ascii="Times New Roman" w:eastAsia="SPLulinBu-Roman" w:hAnsi="Times New Roman" w:cs="Times New Roman"/>
          <w:sz w:val="24"/>
          <w:szCs w:val="24"/>
        </w:rPr>
        <w:t>да</w:t>
      </w:r>
      <w:proofErr w:type="gramEnd"/>
      <w:r w:rsidR="006652BF" w:rsidRPr="00FA5D52">
        <w:rPr>
          <w:rFonts w:ascii="Times New Roman" w:eastAsia="SPLulinBu-Roman" w:hAnsi="Times New Roman" w:cs="Times New Roman"/>
          <w:sz w:val="24"/>
          <w:szCs w:val="24"/>
        </w:rPr>
        <w:t xml:space="preserve"> реализираме празника Харалампиевден и покажем отношението на училище, родители и</w:t>
      </w:r>
      <w:r w:rsidRPr="00FA5D52">
        <w:rPr>
          <w:rFonts w:ascii="Times New Roman" w:eastAsia="SPLulinBu-Roman" w:hAnsi="Times New Roman" w:cs="Times New Roman"/>
          <w:sz w:val="24"/>
          <w:szCs w:val="24"/>
        </w:rPr>
        <w:t xml:space="preserve"> </w:t>
      </w:r>
      <w:r w:rsidR="006652BF" w:rsidRPr="00FA5D52">
        <w:rPr>
          <w:rFonts w:ascii="Times New Roman" w:eastAsia="SPLulinBu-Roman" w:hAnsi="Times New Roman" w:cs="Times New Roman"/>
          <w:sz w:val="24"/>
          <w:szCs w:val="24"/>
        </w:rPr>
        <w:t>Църква като съмишленици във възпитанието на младите хора, търсещи духовни опори;</w:t>
      </w:r>
    </w:p>
    <w:p w:rsidR="006652BF" w:rsidRPr="00FA5D52" w:rsidRDefault="00313CF0"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lang w:val="en-US"/>
        </w:rPr>
        <w:t>-</w:t>
      </w:r>
      <w:r w:rsidR="006652BF" w:rsidRPr="00FA5D52">
        <w:rPr>
          <w:rFonts w:ascii="Times New Roman" w:eastAsia="SPLulinBu-Roman" w:hAnsi="Times New Roman" w:cs="Times New Roman"/>
          <w:sz w:val="24"/>
          <w:szCs w:val="24"/>
        </w:rPr>
        <w:t xml:space="preserve"> </w:t>
      </w:r>
      <w:proofErr w:type="gramStart"/>
      <w:r w:rsidR="006652BF" w:rsidRPr="00FA5D52">
        <w:rPr>
          <w:rFonts w:ascii="Times New Roman" w:eastAsia="SPLulinBu-Roman" w:hAnsi="Times New Roman" w:cs="Times New Roman"/>
          <w:sz w:val="24"/>
          <w:szCs w:val="24"/>
        </w:rPr>
        <w:t>да</w:t>
      </w:r>
      <w:proofErr w:type="gramEnd"/>
      <w:r w:rsidR="006652BF" w:rsidRPr="00FA5D52">
        <w:rPr>
          <w:rFonts w:ascii="Times New Roman" w:eastAsia="SPLulinBu-Roman" w:hAnsi="Times New Roman" w:cs="Times New Roman"/>
          <w:sz w:val="24"/>
          <w:szCs w:val="24"/>
        </w:rPr>
        <w:t xml:space="preserve"> споделим различните възможности на църковно-народната празнична обредност за възпитаване у децата чувства на национална гордост, на принадлежност към общество от съмишленици;</w:t>
      </w:r>
    </w:p>
    <w:p w:rsidR="006652BF" w:rsidRPr="00FA5D52" w:rsidRDefault="00313CF0"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lang w:val="en-US"/>
        </w:rPr>
        <w:t>-</w:t>
      </w:r>
      <w:r w:rsidR="006652BF" w:rsidRPr="00FA5D52">
        <w:rPr>
          <w:rFonts w:ascii="Times New Roman" w:eastAsia="SPLulinBu-Roman" w:hAnsi="Times New Roman" w:cs="Times New Roman"/>
          <w:sz w:val="24"/>
          <w:szCs w:val="24"/>
        </w:rPr>
        <w:t xml:space="preserve"> </w:t>
      </w:r>
      <w:proofErr w:type="gramStart"/>
      <w:r w:rsidR="006652BF" w:rsidRPr="00FA5D52">
        <w:rPr>
          <w:rFonts w:ascii="Times New Roman" w:eastAsia="SPLulinBu-Roman" w:hAnsi="Times New Roman" w:cs="Times New Roman"/>
          <w:sz w:val="24"/>
          <w:szCs w:val="24"/>
        </w:rPr>
        <w:t>чрез</w:t>
      </w:r>
      <w:proofErr w:type="gramEnd"/>
      <w:r w:rsidR="006652BF" w:rsidRPr="00FA5D52">
        <w:rPr>
          <w:rFonts w:ascii="Times New Roman" w:eastAsia="SPLulinBu-Roman" w:hAnsi="Times New Roman" w:cs="Times New Roman"/>
          <w:sz w:val="24"/>
          <w:szCs w:val="24"/>
        </w:rPr>
        <w:t xml:space="preserve"> празника, посветен на св. Харалампий и обредната традиция на този ден, да възбудим усещането за жива вяра, преосмислена чрез подвига на мъченика, лично преживяна от детската душа посредством родната традиция и храмовата обстановка;</w:t>
      </w:r>
    </w:p>
    <w:p w:rsidR="006652BF" w:rsidRPr="00FA5D52" w:rsidRDefault="00313CF0"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lang w:val="en-US"/>
        </w:rPr>
        <w:t>-</w:t>
      </w:r>
      <w:r w:rsidR="006652BF" w:rsidRPr="00FA5D52">
        <w:rPr>
          <w:rFonts w:ascii="Times New Roman" w:eastAsia="SPLulinBu-Roman" w:hAnsi="Times New Roman" w:cs="Times New Roman"/>
          <w:sz w:val="24"/>
          <w:szCs w:val="24"/>
        </w:rPr>
        <w:t xml:space="preserve"> </w:t>
      </w:r>
      <w:proofErr w:type="gramStart"/>
      <w:r w:rsidR="006652BF" w:rsidRPr="00FA5D52">
        <w:rPr>
          <w:rFonts w:ascii="Times New Roman" w:eastAsia="SPLulinBu-Roman" w:hAnsi="Times New Roman" w:cs="Times New Roman"/>
          <w:sz w:val="24"/>
          <w:szCs w:val="24"/>
        </w:rPr>
        <w:t>да</w:t>
      </w:r>
      <w:proofErr w:type="gramEnd"/>
      <w:r w:rsidR="006652BF" w:rsidRPr="00FA5D52">
        <w:rPr>
          <w:rFonts w:ascii="Times New Roman" w:eastAsia="SPLulinBu-Roman" w:hAnsi="Times New Roman" w:cs="Times New Roman"/>
          <w:sz w:val="24"/>
          <w:szCs w:val="24"/>
        </w:rPr>
        <w:t xml:space="preserve"> провокираме чрез полученото взаимодействие между училище и Църква личностна рефлексия и формиране на духовни ценности и потребности;</w:t>
      </w:r>
    </w:p>
    <w:p w:rsidR="00313CF0" w:rsidRPr="00FA5D52" w:rsidRDefault="00313CF0"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lang w:val="en-US"/>
        </w:rPr>
        <w:t>-</w:t>
      </w:r>
      <w:r w:rsidR="006652BF" w:rsidRPr="00FA5D52">
        <w:rPr>
          <w:rFonts w:ascii="Times New Roman" w:eastAsia="SPLulinBu-Roman" w:hAnsi="Times New Roman" w:cs="Times New Roman"/>
          <w:sz w:val="24"/>
          <w:szCs w:val="24"/>
        </w:rPr>
        <w:t xml:space="preserve"> </w:t>
      </w:r>
      <w:proofErr w:type="gramStart"/>
      <w:r w:rsidR="006652BF" w:rsidRPr="00FA5D52">
        <w:rPr>
          <w:rFonts w:ascii="Times New Roman" w:eastAsia="SPLulinBu-Roman" w:hAnsi="Times New Roman" w:cs="Times New Roman"/>
          <w:sz w:val="24"/>
          <w:szCs w:val="24"/>
        </w:rPr>
        <w:t>да</w:t>
      </w:r>
      <w:proofErr w:type="gramEnd"/>
      <w:r w:rsidR="006652BF" w:rsidRPr="00FA5D52">
        <w:rPr>
          <w:rFonts w:ascii="Times New Roman" w:eastAsia="SPLulinBu-Roman" w:hAnsi="Times New Roman" w:cs="Times New Roman"/>
          <w:sz w:val="24"/>
          <w:szCs w:val="24"/>
        </w:rPr>
        <w:t xml:space="preserve"> акцентираме на откривателството като елемент от подготовката на децата при ползване на</w:t>
      </w:r>
      <w:r w:rsidRPr="00FA5D52">
        <w:rPr>
          <w:rFonts w:ascii="Times New Roman" w:eastAsia="SPLulinBu-Roman" w:hAnsi="Times New Roman" w:cs="Times New Roman"/>
          <w:sz w:val="24"/>
          <w:szCs w:val="24"/>
        </w:rPr>
        <w:t xml:space="preserve"> </w:t>
      </w:r>
      <w:r w:rsidR="006652BF" w:rsidRPr="00FA5D52">
        <w:rPr>
          <w:rFonts w:ascii="Times New Roman" w:eastAsia="SPLulinBu-Roman" w:hAnsi="Times New Roman" w:cs="Times New Roman"/>
          <w:sz w:val="24"/>
          <w:szCs w:val="24"/>
        </w:rPr>
        <w:t>различни източници за намиране житието и икони на светеца и традицията на Харалампиевден;</w:t>
      </w:r>
      <w:r w:rsidRPr="00FA5D52">
        <w:rPr>
          <w:rFonts w:ascii="Times New Roman" w:eastAsia="SPLulinBu-Roman" w:hAnsi="Times New Roman" w:cs="Times New Roman"/>
          <w:sz w:val="24"/>
          <w:szCs w:val="24"/>
          <w:lang w:val="en-US"/>
        </w:rPr>
        <w:t xml:space="preserve"> </w:t>
      </w:r>
    </w:p>
    <w:p w:rsidR="006652BF" w:rsidRPr="00FA5D52" w:rsidRDefault="00313CF0"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lang w:val="en-US"/>
        </w:rPr>
        <w:t>-</w:t>
      </w:r>
      <w:r w:rsidR="006652BF" w:rsidRPr="00FA5D52">
        <w:rPr>
          <w:rFonts w:ascii="Times New Roman" w:eastAsia="SPLulinBu-Roman" w:hAnsi="Times New Roman" w:cs="Times New Roman"/>
          <w:sz w:val="24"/>
          <w:szCs w:val="24"/>
        </w:rPr>
        <w:t xml:space="preserve"> религиозното преживяване от посещението в храма като „дом Божий“ и наученото за чествания на 10 февруари светец, да бъдат претворени в първи опити по иконопис;</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Празникът, в чест на св. Харалампий, е поводът, който подсказа възможността на ученото в</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училище да бъде изпитано и преживяно на практика от 9-10-годишни деца, обучаващи се четвърта</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година в групите по СИП – Религия.</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Св. Харалампий е мъченик за Христовата вяра, пострадал при имп. Септимий Север около 200г.</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след Р. Хр. [3]. Бил е епископ в гр. Магнезия. Ревностен разпространител на християнското учение,</w:t>
      </w:r>
      <w:r w:rsidR="00313CF0"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той покръстил много езичници. В старостта си бил заловен и подложен на мъчения, за да се откаже</w:t>
      </w:r>
      <w:r w:rsidR="00313CF0"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от убежденията си. Жестокостта към светеца била нечовешка, но непреклонната вяра и молитвата на уста извършили много чудеса със стареца, които доказали Божията сила. Умира в достойнство</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на 113 години. В българския календар денят се почита като Харалампиевден. На празника се приготвя</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обреден хляб и заедно с пчелния мед, се освещават в храма със специално за случая богослужение. С тази погача и осветен мед се захранват първо децата, за да се изгонят болестите по молитвите на св.</w:t>
      </w:r>
      <w:r w:rsidR="007D1A1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Харалампий. Някъде обредно се премитал дома, за да се изгони чумата от къщи. Празникът се нарича</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и Чуминден (1). Нашият народ е преценил, че само сила като на св. Харалампий може да се справи с тази нелечима за времето болест. Ето защо светецът е почетен по специален начин от Църква и народ.</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Подготовката започна две седмици по-рано. В Библиотечно-информационния център на ОУ „Бачо Киро“ – гр. Велико Търново учениците от четвърти клас потърсиха сведения за житието на светеца и за народното честване. Източниците на знания бяха</w:t>
      </w:r>
      <w:r w:rsid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 xml:space="preserve">традиционната житийна и етнографска литература, както и необятното Интернет </w:t>
      </w:r>
      <w:r w:rsidRPr="00FA5D52">
        <w:rPr>
          <w:rFonts w:ascii="Times New Roman" w:eastAsia="SPLulinBu-Roman" w:hAnsi="Times New Roman" w:cs="Times New Roman"/>
          <w:sz w:val="24"/>
          <w:szCs w:val="24"/>
        </w:rPr>
        <w:lastRenderedPageBreak/>
        <w:t>пространство. Работата на децата под ръководството на завеждащия Библиотечно-информационния център завърши с изработване на листовка, разказваща за духовния подвиг на свещеномъченика Харалампий и празничната народна традиция.</w:t>
      </w:r>
      <w:r w:rsidR="00321C35">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Листовките бяха размножени и по време на посещението в храма, раздадени на децата, за да отнесат</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вкъщи смисъла и същността на празника. Информацията бе предоставена на учителите в училище,</w:t>
      </w:r>
      <w:r w:rsidR="007D1A1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както и на всички, които ползват възможностите на училищния информационен център. Така разгласихме своите намерения за предстоящото събитие и споделихме наученото.</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r w:rsidRPr="00FA5D52">
        <w:rPr>
          <w:rFonts w:ascii="Times New Roman" w:eastAsia="SPLulinBu-Roman" w:hAnsi="Times New Roman" w:cs="Times New Roman"/>
          <w:i/>
          <w:iCs/>
          <w:noProof/>
          <w:sz w:val="24"/>
          <w:szCs w:val="24"/>
          <w:lang w:eastAsia="bg-BG"/>
        </w:rPr>
        <w:drawing>
          <wp:inline distT="0" distB="0" distL="0" distR="0" wp14:anchorId="72802D71" wp14:editId="3A5C3885">
            <wp:extent cx="5760720" cy="143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436400"/>
                    </a:xfrm>
                    <a:prstGeom prst="rect">
                      <a:avLst/>
                    </a:prstGeom>
                    <a:noFill/>
                    <a:ln>
                      <a:noFill/>
                    </a:ln>
                  </pic:spPr>
                </pic:pic>
              </a:graphicData>
            </a:graphic>
          </wp:inline>
        </w:drawing>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rPr>
      </w:pPr>
      <w:r w:rsidRPr="00FA5D52">
        <w:rPr>
          <w:rFonts w:ascii="Times New Roman" w:eastAsia="SPLulinBu-Roman" w:hAnsi="Times New Roman" w:cs="Times New Roman"/>
          <w:i/>
          <w:iCs/>
          <w:sz w:val="24"/>
          <w:szCs w:val="24"/>
        </w:rPr>
        <w:t>Фигура 1. Подготовка в Библиотечно – информационния център</w:t>
      </w:r>
    </w:p>
    <w:p w:rsidR="007D1A1F" w:rsidRPr="00FA5D52" w:rsidRDefault="007D1A1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По време на търсенето и изследването децата се срещнаха с интересни православни сайтове като: www.pravoslavieto.com, www.dveri.bg и др.; научиха за православни организации с изключително богат живот и дейност като „Покров Богородичен“. Така те разбраха, че православното християнство е тема, широко дискутирана и разработена чрез дейностите на много хора в Интернет.</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Тези, които разгърнаха книгите, се убедиха, че църковният и народнообредният живот на българина са своеобразна сплитка от векове, изпълваща със смисъл душевните потребности на нашия</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народ. На страниците на книгите учениците се срещнаха с духовния подвиг и на деца, и на старци,</w:t>
      </w:r>
      <w:r w:rsidR="007D1A1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увенчан с ореола на светостта заради мъченическата смърт за Христовата вяра. Тези съприкосновения провокираха нови въпроси у децата, стремеж към духовна чистота и подражание, преосмисляне на действия и отношения.</w:t>
      </w:r>
      <w:r w:rsidR="007D1A1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С този емоционален заряд настъпи и дългоочаквания 10 февруари – Харалампиевден. По покана на</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свещеноиконом Славчо, енорийски свещеник при храм „Св. Николай“ – гр. Велика Търново, децата от</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четвърти клас, обучаващи се в групите по СИП – Религия, се отправиха към храма.</w:t>
      </w:r>
      <w:r w:rsidR="00321C35">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Предчувствието за нещо радостно и необичайно завладя децата още от идването им в училище.</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Баби и майки се бяха приготвили (без поръчка) и пристигащите деца носеха още топли питки и мед</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за обичая на този ден. Те знаеха, че в храма свещеникът ще прочете специални молитви и така ще освети меда, от който всички ще хапнат и ще отнесат вкъщи за здраве и лек.</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r w:rsidRPr="00FA5D52">
        <w:rPr>
          <w:rFonts w:ascii="Times New Roman" w:eastAsia="SPLulinBu-Roman" w:hAnsi="Times New Roman" w:cs="Times New Roman"/>
          <w:i/>
          <w:iCs/>
          <w:noProof/>
          <w:sz w:val="24"/>
          <w:szCs w:val="24"/>
          <w:lang w:eastAsia="bg-BG"/>
        </w:rPr>
        <w:drawing>
          <wp:inline distT="0" distB="0" distL="0" distR="0" wp14:anchorId="7EF11284" wp14:editId="016047BF">
            <wp:extent cx="5760720" cy="14359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435957"/>
                    </a:xfrm>
                    <a:prstGeom prst="rect">
                      <a:avLst/>
                    </a:prstGeom>
                    <a:noFill/>
                    <a:ln>
                      <a:noFill/>
                    </a:ln>
                  </pic:spPr>
                </pic:pic>
              </a:graphicData>
            </a:graphic>
          </wp:inline>
        </w:drawing>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rPr>
      </w:pPr>
      <w:r w:rsidRPr="00FA5D52">
        <w:rPr>
          <w:rFonts w:ascii="Times New Roman" w:eastAsia="SPLulinBu-Roman" w:hAnsi="Times New Roman" w:cs="Times New Roman"/>
          <w:i/>
          <w:iCs/>
          <w:sz w:val="24"/>
          <w:szCs w:val="24"/>
        </w:rPr>
        <w:t>Фигура 2. Предчувствие за нещо радостно</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lastRenderedPageBreak/>
        <w:t>Придвижването по калдъръмената уличка в невероятния „Варуша“ взриви детската емоция при</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гледката на величествения храм „Св. Николай“, въздигнат от ненадминатия майстор Кольо Фичето.</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В двора на църквата припомнихме ученото за поведението в „дома на Бога“ и уверено влязохме, за да</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запалим свещ и да присъстваме на освещаването на меда.</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Децата с интерес разгледаха вътрешната уредба на храма, слушаха думите на свещеника и</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откриха, че там бяха и други хора, а масите бяха отрупани с домашни хлябове и бурканчета мед.</w:t>
      </w:r>
      <w:r w:rsidR="007D1A1F"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Атмосферата създаде усещането за общност, към която всички се почувствахме уютно приобщени.</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r w:rsidRPr="00FA5D52">
        <w:rPr>
          <w:rFonts w:ascii="Times New Roman" w:eastAsia="SPLulinBu-Roman" w:hAnsi="Times New Roman" w:cs="Times New Roman"/>
          <w:i/>
          <w:iCs/>
          <w:noProof/>
          <w:sz w:val="24"/>
          <w:szCs w:val="24"/>
          <w:lang w:eastAsia="bg-BG"/>
        </w:rPr>
        <w:drawing>
          <wp:inline distT="0" distB="0" distL="0" distR="0" wp14:anchorId="65AD0C2D" wp14:editId="3AB9177B">
            <wp:extent cx="5760720" cy="14359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435957"/>
                    </a:xfrm>
                    <a:prstGeom prst="rect">
                      <a:avLst/>
                    </a:prstGeom>
                    <a:noFill/>
                    <a:ln>
                      <a:noFill/>
                    </a:ln>
                  </pic:spPr>
                </pic:pic>
              </a:graphicData>
            </a:graphic>
          </wp:inline>
        </w:drawing>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rPr>
      </w:pPr>
      <w:r w:rsidRPr="00FA5D52">
        <w:rPr>
          <w:rFonts w:ascii="Times New Roman" w:eastAsia="SPLulinBu-Roman" w:hAnsi="Times New Roman" w:cs="Times New Roman"/>
          <w:i/>
          <w:iCs/>
          <w:sz w:val="24"/>
          <w:szCs w:val="24"/>
        </w:rPr>
        <w:t>Фигура 3. На празник в храма</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След края на богослужението, празникът се пренесе в двора на храма. Честитихме си Харалампиевден и с удоволствие и благослов за здраве хапнахме от питките с мед. Така почетохме подвига на</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свещеника-мъченик Харалампий и спазихме народната традиция да осветим меда, да вкусим от него</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за здраве и да помолим светеца да изгони болестите от тялото и духа.</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r w:rsidRPr="00FA5D52">
        <w:rPr>
          <w:rFonts w:ascii="Times New Roman" w:eastAsia="SPLulinBu-Roman" w:hAnsi="Times New Roman" w:cs="Times New Roman"/>
          <w:i/>
          <w:iCs/>
          <w:noProof/>
          <w:sz w:val="24"/>
          <w:szCs w:val="24"/>
          <w:lang w:eastAsia="bg-BG"/>
        </w:rPr>
        <w:drawing>
          <wp:inline distT="0" distB="0" distL="0" distR="0" wp14:anchorId="69C695A9" wp14:editId="02685548">
            <wp:extent cx="5760720" cy="14359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435957"/>
                    </a:xfrm>
                    <a:prstGeom prst="rect">
                      <a:avLst/>
                    </a:prstGeom>
                    <a:noFill/>
                    <a:ln>
                      <a:noFill/>
                    </a:ln>
                  </pic:spPr>
                </pic:pic>
              </a:graphicData>
            </a:graphic>
          </wp:inline>
        </w:drawing>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rPr>
      </w:pPr>
      <w:r w:rsidRPr="00FA5D52">
        <w:rPr>
          <w:rFonts w:ascii="Times New Roman" w:eastAsia="SPLulinBu-Roman" w:hAnsi="Times New Roman" w:cs="Times New Roman"/>
          <w:i/>
          <w:iCs/>
          <w:sz w:val="24"/>
          <w:szCs w:val="24"/>
        </w:rPr>
        <w:t>Фигура 4. Харалампиевден</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Отец Славчо лично поздрави децата и ги почерпи с меденки, защото свети Харалампий е покровител на пчеларите.</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Децата разгледаха неделното училище при храма и разбраха, че неговите врати са отворени за</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тези, които желаят да получат повече знания за Бога и да участват в църковния живот. Тук разказаха наученото за чествания светец, а свещеникът подари на всяко дете по една Библия за деца. Тръгнахме си с обещания да споделим още мигове в съвместни дейности.</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r w:rsidRPr="00FA5D52">
        <w:rPr>
          <w:rFonts w:ascii="Times New Roman" w:eastAsia="SPLulinBu-Roman" w:hAnsi="Times New Roman" w:cs="Times New Roman"/>
          <w:i/>
          <w:iCs/>
          <w:noProof/>
          <w:sz w:val="24"/>
          <w:szCs w:val="24"/>
          <w:lang w:eastAsia="bg-BG"/>
        </w:rPr>
        <w:drawing>
          <wp:inline distT="0" distB="0" distL="0" distR="0" wp14:anchorId="779C594F" wp14:editId="441B27B5">
            <wp:extent cx="5760720" cy="1441324"/>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441324"/>
                    </a:xfrm>
                    <a:prstGeom prst="rect">
                      <a:avLst/>
                    </a:prstGeom>
                    <a:noFill/>
                    <a:ln>
                      <a:noFill/>
                    </a:ln>
                  </pic:spPr>
                </pic:pic>
              </a:graphicData>
            </a:graphic>
          </wp:inline>
        </w:drawing>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rPr>
      </w:pPr>
      <w:r w:rsidRPr="00FA5D52">
        <w:rPr>
          <w:rFonts w:ascii="Times New Roman" w:eastAsia="SPLulinBu-Roman" w:hAnsi="Times New Roman" w:cs="Times New Roman"/>
          <w:i/>
          <w:iCs/>
          <w:sz w:val="24"/>
          <w:szCs w:val="24"/>
        </w:rPr>
        <w:t>Фигура 5. Гости на Неделното училище</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lastRenderedPageBreak/>
        <w:t>Рисуването на иконата на свети Харалампий бе подходящ завършек на предхождащото посещение в храма. Така емоциите на децата щяха да придобият нов облик със средствата на изобразителното изкуство. Те на практика визуализираха своите чувства,</w:t>
      </w:r>
      <w:r w:rsidR="00321C35">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впечатления и желания.</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Когато започна часът по изобразително изкуство, децата бяха запознати със занаята на старите български майстори-иконописци, със специфичните за този вид изобразително</w:t>
      </w:r>
      <w:r w:rsidR="00321C35">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изкуство закони</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(5). Накратко им беше разказано за техниките и ритуалите по изографисването на една икона. Според думите на архиеп. Григорий Денвърски „Православието е извънредно красиво – то е истина, наш</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живот, наша радост и спасение</w:t>
      </w:r>
      <w:r w:rsidR="007D1A1F" w:rsidRPr="00FA5D52">
        <w:rPr>
          <w:rFonts w:ascii="Times New Roman" w:eastAsia="SPLulinBu-Roman" w:hAnsi="Times New Roman" w:cs="Times New Roman"/>
          <w:sz w:val="24"/>
          <w:szCs w:val="24"/>
        </w:rPr>
        <w:t>.</w:t>
      </w:r>
      <w:r w:rsidRPr="00FA5D52">
        <w:rPr>
          <w:rFonts w:ascii="Times New Roman" w:eastAsia="SPLulinBu-Roman" w:hAnsi="Times New Roman" w:cs="Times New Roman"/>
          <w:sz w:val="24"/>
          <w:szCs w:val="24"/>
        </w:rPr>
        <w:t xml:space="preserve"> Всички страни от религиозния култ – от архитектурата до музиката, молитвата и иконописта – са проникнати от красота, защото православните традиции, църковните служби – всичко, което има отношение към нашата вяра, е проникнато и оживотворено от</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Божественото“ [2].</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lang w:val="en-US"/>
        </w:rPr>
      </w:pPr>
      <w:r w:rsidRPr="00FA5D52">
        <w:rPr>
          <w:rFonts w:ascii="Times New Roman" w:eastAsia="SPLulinBu-Roman" w:hAnsi="Times New Roman" w:cs="Times New Roman"/>
          <w:i/>
          <w:iCs/>
          <w:noProof/>
          <w:sz w:val="24"/>
          <w:szCs w:val="24"/>
          <w:lang w:eastAsia="bg-BG"/>
        </w:rPr>
        <w:drawing>
          <wp:inline distT="0" distB="0" distL="0" distR="0" wp14:anchorId="60CF2CD5" wp14:editId="06F7DEAB">
            <wp:extent cx="5760720" cy="16770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677023"/>
                    </a:xfrm>
                    <a:prstGeom prst="rect">
                      <a:avLst/>
                    </a:prstGeom>
                    <a:noFill/>
                    <a:ln>
                      <a:noFill/>
                    </a:ln>
                  </pic:spPr>
                </pic:pic>
              </a:graphicData>
            </a:graphic>
          </wp:inline>
        </w:drawing>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i/>
          <w:iCs/>
          <w:sz w:val="24"/>
          <w:szCs w:val="24"/>
        </w:rPr>
      </w:pPr>
      <w:r w:rsidRPr="00FA5D52">
        <w:rPr>
          <w:rFonts w:ascii="Times New Roman" w:eastAsia="SPLulinBu-Roman" w:hAnsi="Times New Roman" w:cs="Times New Roman"/>
          <w:i/>
          <w:iCs/>
          <w:sz w:val="24"/>
          <w:szCs w:val="24"/>
        </w:rPr>
        <w:t>Фигура 6. Първи стъпки по иконопис</w:t>
      </w:r>
    </w:p>
    <w:p w:rsidR="00321C35" w:rsidRDefault="00321C35"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p>
    <w:p w:rsidR="007D1A1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 xml:space="preserve">Рисувайки икона, децата се потопиха отново в духа на това, което бяха видели и </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затвърдиха отношението си към всичко, което преживяха. Детайлите, в които се вгледаха и нарисуваха, както и</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информацията, свързана с тяхното значение – ръката която благославя, книгата която светецът</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носи, хитона, цветовете на иконата, шарките, характерни за българската иконопис – всичко това</w:t>
      </w:r>
      <w:r w:rsidR="007D1A1F"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носи ново знание и умение, свързано със съпреживяването и съпричастността на детската емоционалност с българските религиозни празници и традиции.</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Това, че събудихме детската душа и отговорихме на нейните потребности, беше факт. Децата бяха щастливи, емоционални. Това, че по коридорите в училище честитяха на всички Харалампиевден, разкри тяхното вълнение от преживяното и превърна обикновения учебен ден в неповторим</w:t>
      </w:r>
      <w:r w:rsidR="00126DB1"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празник. Фактът, че децата рисуват икона, означава че те са съпричастни към евангелската истина</w:t>
      </w:r>
      <w:r w:rsidR="00126DB1"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и чрез цвета и формата имат желание да я споделят. Изкуството е носител на красота, а стремежът към красотата вече е и търсене на Бога, като израз на съвършенство.</w:t>
      </w:r>
    </w:p>
    <w:p w:rsidR="00321C35"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 xml:space="preserve">Мястото на религията в живота на хората се подчертава в научните изследвания на </w:t>
      </w:r>
      <w:r w:rsidR="00126DB1" w:rsidRPr="00FA5D52">
        <w:rPr>
          <w:rFonts w:ascii="Times New Roman" w:eastAsia="SPLulinBu-Roman" w:hAnsi="Times New Roman" w:cs="Times New Roman"/>
          <w:sz w:val="24"/>
          <w:szCs w:val="24"/>
        </w:rPr>
        <w:t>В</w:t>
      </w:r>
      <w:r w:rsidRPr="00FA5D52">
        <w:rPr>
          <w:rFonts w:ascii="Times New Roman" w:eastAsia="SPLulinBu-Roman" w:hAnsi="Times New Roman" w:cs="Times New Roman"/>
          <w:sz w:val="24"/>
          <w:szCs w:val="24"/>
        </w:rPr>
        <w:t>сички</w:t>
      </w:r>
      <w:r w:rsidR="00126DB1"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социални науки, а медийното пространство осигурява ежедневен достъп до актуални проблеми,</w:t>
      </w:r>
      <w:r w:rsidR="00126DB1" w:rsidRPr="00FA5D52">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свързани с различни културни и религиозни традиции. В този контекст е важно на съвременните</w:t>
      </w:r>
      <w:r w:rsidR="00126DB1"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ученици да бъде предоставена възможност да придобият основни знания, умения и нагласи в тази специфична област на обществения живот, без която картината за света около тях не би била</w:t>
      </w:r>
      <w:r w:rsidR="00126DB1"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 xml:space="preserve">пълна. Познаването на българската църковна и празничната народна обредност дават част от знанията, уменията и компетентностите, формиращи у детето позиция на верова, етническа и социална принадлежност, без чувство на неудобство за своето самоопределяне в обществото. </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lastRenderedPageBreak/>
        <w:t>В заключение искам да споделя мнението на доц. д-р Магдалена Легкоступ, според която: „Религиозното обучение има своето място в развитието на знанията на ученика и неговото разбиране на религиозните вярвания и практики с цел търсене на собствената духовна идентичност и насърчаване на чувствителност към различните религиозни традиции. Тази необходимост се обуславя от</w:t>
      </w:r>
      <w:r w:rsidR="00126DB1" w:rsidRPr="00FA5D52">
        <w:rPr>
          <w:rFonts w:ascii="Times New Roman" w:eastAsia="SPLulinBu-Roman" w:hAnsi="Times New Roman" w:cs="Times New Roman"/>
          <w:sz w:val="24"/>
          <w:szCs w:val="24"/>
        </w:rPr>
        <w:t xml:space="preserve"> </w:t>
      </w:r>
      <w:r w:rsidRPr="00FA5D52">
        <w:rPr>
          <w:rFonts w:ascii="Times New Roman" w:eastAsia="SPLulinBu-Roman" w:hAnsi="Times New Roman" w:cs="Times New Roman"/>
          <w:sz w:val="24"/>
          <w:szCs w:val="24"/>
        </w:rPr>
        <w:t>постоянно променящия се демографски облик на европейските общества в контекста на непрекъснатия процес на миграция и все по-голямо разнообразие от традиции, култура и религиозни убеждения“ [6].</w:t>
      </w:r>
    </w:p>
    <w:p w:rsidR="004A4192" w:rsidRPr="00FA5D52" w:rsidRDefault="004A4192" w:rsidP="00FA5D52">
      <w:pPr>
        <w:autoSpaceDE w:val="0"/>
        <w:autoSpaceDN w:val="0"/>
        <w:adjustRightInd w:val="0"/>
        <w:spacing w:after="0" w:line="240" w:lineRule="auto"/>
        <w:ind w:firstLine="709"/>
        <w:jc w:val="both"/>
        <w:rPr>
          <w:rFonts w:ascii="Times New Roman" w:eastAsia="SPLulinBu-Roman" w:hAnsi="Times New Roman" w:cs="Times New Roman"/>
          <w:b/>
          <w:bCs/>
          <w:sz w:val="24"/>
          <w:szCs w:val="24"/>
        </w:rPr>
      </w:pP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b/>
          <w:bCs/>
          <w:sz w:val="24"/>
          <w:szCs w:val="24"/>
        </w:rPr>
      </w:pPr>
      <w:r w:rsidRPr="00FA5D52">
        <w:rPr>
          <w:rFonts w:ascii="Times New Roman" w:eastAsia="SPLulinBu-Roman" w:hAnsi="Times New Roman" w:cs="Times New Roman"/>
          <w:b/>
          <w:bCs/>
          <w:sz w:val="24"/>
          <w:szCs w:val="24"/>
        </w:rPr>
        <w:t>Литература:</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1. Гюрова, С., А. Кирилова. Православен календар. ПИК, В. Търново, 1994, с.</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2. Денвърски, архиеп. Григорий. Кратко разяснение на иконописта. http://true-orthodoxy-bulgaria.</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webs.com/ikonopis.htm</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3. Жития на светиите. Синод. изд., С., 1991, с.96.</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4. Закон за народната просвета</w:t>
      </w:r>
    </w:p>
    <w:p w:rsidR="006652BF"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rPr>
      </w:pPr>
      <w:r w:rsidRPr="00FA5D52">
        <w:rPr>
          <w:rFonts w:ascii="Times New Roman" w:eastAsia="SPLulinBu-Roman" w:hAnsi="Times New Roman" w:cs="Times New Roman"/>
          <w:sz w:val="24"/>
          <w:szCs w:val="24"/>
        </w:rPr>
        <w:t>5. Инструкция №2 от 23 юни 2003г. за провеждане на обучение по религия.</w:t>
      </w:r>
    </w:p>
    <w:p w:rsidR="00321C35"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6. Легкоступ, М. Съвременното обучение по религия – актуални подходи и основни</w:t>
      </w:r>
      <w:r w:rsidR="00321C35">
        <w:rPr>
          <w:rFonts w:ascii="Times New Roman" w:eastAsia="SPLulinBu-Roman" w:hAnsi="Times New Roman" w:cs="Times New Roman"/>
          <w:sz w:val="24"/>
          <w:szCs w:val="24"/>
          <w:lang w:val="en-US"/>
        </w:rPr>
        <w:t xml:space="preserve"> </w:t>
      </w:r>
      <w:r w:rsidRPr="00FA5D52">
        <w:rPr>
          <w:rFonts w:ascii="Times New Roman" w:eastAsia="SPLulinBu-Roman" w:hAnsi="Times New Roman" w:cs="Times New Roman"/>
          <w:sz w:val="24"/>
          <w:szCs w:val="24"/>
        </w:rPr>
        <w:t xml:space="preserve"> принципи, Сб. по случай 60. г. от рождението на проф. дпн Пламен Радев, Пловдив, 2011, с. 216; </w:t>
      </w:r>
    </w:p>
    <w:p w:rsidR="004A4192" w:rsidRPr="00FA5D52" w:rsidRDefault="006652BF" w:rsidP="00FA5D52">
      <w:pPr>
        <w:autoSpaceDE w:val="0"/>
        <w:autoSpaceDN w:val="0"/>
        <w:adjustRightInd w:val="0"/>
        <w:spacing w:after="0" w:line="240" w:lineRule="auto"/>
        <w:ind w:firstLine="709"/>
        <w:jc w:val="both"/>
        <w:rPr>
          <w:rFonts w:ascii="Times New Roman" w:eastAsia="SPLulinBu-Roman" w:hAnsi="Times New Roman" w:cs="Times New Roman"/>
          <w:sz w:val="24"/>
          <w:szCs w:val="24"/>
          <w:lang w:val="en-US"/>
        </w:rPr>
      </w:pPr>
      <w:r w:rsidRPr="00FA5D52">
        <w:rPr>
          <w:rFonts w:ascii="Times New Roman" w:eastAsia="SPLulinBu-Roman" w:hAnsi="Times New Roman" w:cs="Times New Roman"/>
          <w:sz w:val="24"/>
          <w:szCs w:val="24"/>
        </w:rPr>
        <w:t>http://pbfvt.pravoslavie.bg/index.php?option=com_content__d=43:2012-01-26-12-21-11 [14.03.2013]</w:t>
      </w:r>
    </w:p>
    <w:p w:rsidR="006652BF" w:rsidRPr="00FA5D52" w:rsidRDefault="006652BF" w:rsidP="00FA5D52">
      <w:pPr>
        <w:spacing w:after="0" w:line="240" w:lineRule="auto"/>
        <w:ind w:firstLine="709"/>
        <w:jc w:val="both"/>
        <w:rPr>
          <w:rFonts w:ascii="Times New Roman" w:hAnsi="Times New Roman" w:cs="Times New Roman"/>
          <w:sz w:val="24"/>
          <w:szCs w:val="24"/>
          <w:lang w:val="en-US"/>
        </w:rPr>
      </w:pPr>
      <w:r w:rsidRPr="00FA5D52">
        <w:rPr>
          <w:rFonts w:ascii="Times New Roman" w:eastAsia="SPLulinBu-Roman" w:hAnsi="Times New Roman" w:cs="Times New Roman"/>
          <w:sz w:val="24"/>
          <w:szCs w:val="24"/>
        </w:rPr>
        <w:t xml:space="preserve">7. Успенски, Л. Богословие на иконата. ИК „Омофор“, С., 2001, с. </w:t>
      </w:r>
      <w:bookmarkStart w:id="0" w:name="_GoBack"/>
      <w:bookmarkEnd w:id="0"/>
      <w:r w:rsidRPr="00FA5D52">
        <w:rPr>
          <w:rFonts w:ascii="Times New Roman" w:eastAsia="SPLulinBu-Roman" w:hAnsi="Times New Roman" w:cs="Times New Roman"/>
          <w:sz w:val="24"/>
          <w:szCs w:val="24"/>
        </w:rPr>
        <w:t>27-37.</w:t>
      </w:r>
    </w:p>
    <w:sectPr w:rsidR="006652BF" w:rsidRPr="00FA5D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algun Gothic Semilight"/>
    <w:panose1 w:val="00000000000000000000"/>
    <w:charset w:val="80"/>
    <w:family w:val="auto"/>
    <w:notTrueType/>
    <w:pitch w:val="default"/>
    <w:sig w:usb0="00000000" w:usb1="08070000" w:usb2="00000010" w:usb3="00000000" w:csb0="00020000" w:csb1="00000000"/>
  </w:font>
  <w:font w:name="SPLulinBu-SemiBold">
    <w:altName w:val="Malgun Gothic Semilight"/>
    <w:panose1 w:val="00000000000000000000"/>
    <w:charset w:val="80"/>
    <w:family w:val="auto"/>
    <w:notTrueType/>
    <w:pitch w:val="default"/>
    <w:sig w:usb0="00000001" w:usb1="08070000" w:usb2="00000010" w:usb3="00000000" w:csb0="00020000" w:csb1="00000000"/>
  </w:font>
  <w:font w:name="SPLulinBu-Roman">
    <w:altName w:val="Malgun Gothic Semilight"/>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6343"/>
    <w:multiLevelType w:val="hybridMultilevel"/>
    <w:tmpl w:val="B8701AF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
    <w:nsid w:val="0E0A4C1E"/>
    <w:multiLevelType w:val="hybridMultilevel"/>
    <w:tmpl w:val="91A4B32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D7D"/>
    <w:rsid w:val="00063C46"/>
    <w:rsid w:val="00126DB1"/>
    <w:rsid w:val="00313CF0"/>
    <w:rsid w:val="00321C35"/>
    <w:rsid w:val="004A4192"/>
    <w:rsid w:val="004A7524"/>
    <w:rsid w:val="006652BF"/>
    <w:rsid w:val="007D1A1F"/>
    <w:rsid w:val="008A7C3F"/>
    <w:rsid w:val="00AB7D7D"/>
    <w:rsid w:val="00F34EEF"/>
    <w:rsid w:val="00FA5D5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C3F"/>
    <w:rPr>
      <w:rFonts w:ascii="Tahoma" w:hAnsi="Tahoma" w:cs="Tahoma"/>
      <w:sz w:val="16"/>
      <w:szCs w:val="16"/>
    </w:rPr>
  </w:style>
  <w:style w:type="paragraph" w:styleId="ListParagraph">
    <w:name w:val="List Paragraph"/>
    <w:basedOn w:val="Normal"/>
    <w:uiPriority w:val="34"/>
    <w:qFormat/>
    <w:rsid w:val="008A7C3F"/>
    <w:pPr>
      <w:ind w:left="720"/>
      <w:contextualSpacing/>
    </w:pPr>
  </w:style>
  <w:style w:type="character" w:styleId="Hyperlink">
    <w:name w:val="Hyperlink"/>
    <w:basedOn w:val="DefaultParagraphFont"/>
    <w:uiPriority w:val="99"/>
    <w:unhideWhenUsed/>
    <w:rsid w:val="006652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C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7C3F"/>
    <w:rPr>
      <w:rFonts w:ascii="Tahoma" w:hAnsi="Tahoma" w:cs="Tahoma"/>
      <w:sz w:val="16"/>
      <w:szCs w:val="16"/>
    </w:rPr>
  </w:style>
  <w:style w:type="paragraph" w:styleId="ListParagraph">
    <w:name w:val="List Paragraph"/>
    <w:basedOn w:val="Normal"/>
    <w:uiPriority w:val="34"/>
    <w:qFormat/>
    <w:rsid w:val="008A7C3F"/>
    <w:pPr>
      <w:ind w:left="720"/>
      <w:contextualSpacing/>
    </w:pPr>
  </w:style>
  <w:style w:type="character" w:styleId="Hyperlink">
    <w:name w:val="Hyperlink"/>
    <w:basedOn w:val="DefaultParagraphFont"/>
    <w:uiPriority w:val="99"/>
    <w:unhideWhenUsed/>
    <w:rsid w:val="006652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8.emf"/><Relationship Id="rId10" Type="http://schemas.openxmlformats.org/officeDocument/2006/relationships/hyperlink" Target="http://www.coe.uga.edu/epltt/elt.htm" TargetMode="Externa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72DCC-A8F7-46DC-8C4F-1EFE3C101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20</Pages>
  <Words>7059</Words>
  <Characters>40240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2018-02-02T10:14:00Z</dcterms:created>
  <dcterms:modified xsi:type="dcterms:W3CDTF">2019-04-04T07:49:00Z</dcterms:modified>
</cp:coreProperties>
</file>